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rPr>
      </w:pPr>
      <w:r>
        <w:rPr/>
        <w:pict>
          <v:line style="position:absolute;mso-position-horizontal-relative:page;mso-position-vertical-relative:page;z-index:15728640" from="180.25pt,54pt" to="180.25pt,738pt" stroked="true" strokeweight=".5pt" strokecolor="#033573">
            <v:stroke dashstyle="solid"/>
            <w10:wrap type="none"/>
          </v:line>
        </w:pict>
      </w:r>
    </w:p>
    <w:p>
      <w:pPr>
        <w:pStyle w:val="Heading1"/>
        <w:spacing w:before="122"/>
        <w:ind w:right="3667"/>
        <w:jc w:val="center"/>
        <w:rPr>
          <w:rFonts w:ascii="Frutiger"/>
        </w:rPr>
      </w:pPr>
      <w:r>
        <w:rPr/>
        <w:pict>
          <v:group style="position:absolute;margin-left:50.360199pt;margin-top:-13.848689pt;width:92.5pt;height:85.65pt;mso-position-horizontal-relative:page;mso-position-vertical-relative:paragraph;z-index:15729152" coordorigin="1007,-277" coordsize="1850,1713">
            <v:shape style="position:absolute;left:1538;top:-277;width:810;height:837" coordorigin="1539,-277" coordsize="810,837" path="m2144,-277l2132,-268,2121,-260,2106,-252,2091,-243,2076,-235,2058,-221,2038,-204,2021,-183,2008,-210,2003,-220,2002,-219,1997,-216,1982,-208,1956,-190,1930,-158,1912,-111,1905,-122,1899,-133,1894,-145,1893,-145,1883,-132,1875,-116,1868,-94,1865,-68,1860,-62,1857,-54,1854,-40,1832,-72,1814,-91,1800,-101,1785,-110,1794,-75,1774,-95,1715,-135,1670,-153,1656,-160,1648,-165,1644,-163,1644,-156,1644,-136,1641,-85,1642,-66,1647,-31,1652,-5,1661,24,1634,24,1633,26,1636,31,1648,59,1696,123,1709,135,1680,138,1655,142,1637,148,1610,159,1591,167,1570,174,1552,180,1544,182,1539,186,1606,223,1611,225,1619,235,1631,242,1640,246,1652,251,1666,255,1654,262,1653,264,1664,269,1677,274,1722,288,1730,291,1730,299,1745,303,1762,307,1786,311,1812,311,1838,301,1857,298,1870,294,1883,285,1883,286,1833,363,1775,424,1718,470,1669,501,1667,498,1651,507,1641,507,1629,511,1619,516,1616,524,1620,534,1629,545,1642,560,1641,546,1658,536,1732,485,1784,440,1838,380,1885,306,1887,314,1890,320,1894,331,1904,365,1911,379,1974,436,2050,475,2120,495,2127,495,2126,490,2107,469,2098,457,2090,446,2084,435,2095,433,2106,428,2123,424,2119,416,2115,406,2113,395,2111,382,2108,366,2105,354,2099,344,2092,334,2131,333,2162,327,2184,321,2206,313,2209,310,2205,303,2194,291,2188,285,2179,277,2157,261,2194,259,2220,253,2240,245,2255,235,2275,221,2299,206,2320,193,2334,188,2348,187,2344,181,2338,179,2324,173,2281,150,2255,137,2241,131,2229,127,2217,124,2206,121,2217,106,2222,99,2220,100,2215,98,2203,95,2177,92,2140,91,2095,95,2117,79,2130,66,2136,56,2137,48,2156,24,2172,0,2182,-19,2192,-40,2191,-42,2184,-41,2174,-41,2174,-50,2172,-57,2174,-67,2165,-66,2157,-65,2149,-63,2159,-87,2166,-114,2171,-138,2173,-152,2173,-156,2174,-162,2152,-148,2139,-144,2145,-164,2147,-184,2147,-201,2146,-214,2145,-229,2145,-245,2146,-260,2147,-270,2148,-276,2144,-277xe" filled="true" fillcolor="#da1a31" stroked="false">
              <v:path arrowok="t"/>
              <v:fill type="solid"/>
            </v:shape>
            <v:shape style="position:absolute;left:2174;top:-98;width:2;height:5" coordorigin="2174,-98" coordsize="2,5" path="m2176,-98l2175,-96,2174,-93,2175,-95,2176,-97,2176,-98xe" filled="true" fillcolor="#ce171e" stroked="false">
              <v:path arrowok="t"/>
              <v:fill type="solid"/>
            </v:shape>
            <v:shape style="position:absolute;left:1007;top:64;width:1850;height:1372" coordorigin="1007,64" coordsize="1850,1372" path="m2793,64l2751,65,2665,67,2623,68,2583,68,2543,67,2464,64,2431,138,2398,211,2364,284,2330,357,2295,429,2225,574,2010,1007,1940,1152,1418,64,1387,65,1325,67,1294,68,1243,68,1191,67,1089,64,1089,115,1169,121,1240,167,1257,233,1259,279,1259,359,1258,439,1256,518,1254,597,1238,1074,1228,1186,1205,1266,1171,1318,1072,1364,1007,1367,1007,1418,1071,1416,1201,1414,1265,1414,1325,1414,1446,1417,1506,1418,1506,1367,1453,1366,1410,1361,1349,1334,1317,1272,1308,1160,1310,1038,1325,336,1329,336,1586,847,1658,994,1728,1140,1763,1214,1797,1287,1831,1361,1864,1435,1903,1435,1939,1338,1979,1243,2436,293,2440,293,2454,1218,2451,1268,2426,1332,2342,1365,2254,1367,2254,1418,2325,1416,2466,1414,2537,1414,2617,1414,2777,1417,2857,1418,2857,1367,2761,1362,2700,1343,2666,1308,2651,1255,2646,1179,2644,1105,2628,643,2623,487,2622,409,2621,331,2621,254,2623,212,2657,138,2748,115,2793,115,2793,64xe" filled="true" fillcolor="#033573" stroked="false">
              <v:path arrowok="t"/>
              <v:fill type="solid"/>
            </v:shape>
            <w10:wrap type="none"/>
          </v:group>
        </w:pict>
      </w:r>
      <w:r>
        <w:rPr>
          <w:rFonts w:ascii="Frutiger"/>
          <w:color w:val="033573"/>
        </w:rPr>
        <w:t>POLICY BACKGROUNDER</w:t>
      </w:r>
    </w:p>
    <w:p>
      <w:pPr>
        <w:pStyle w:val="BodyText"/>
        <w:rPr>
          <w:rFonts w:ascii="Frutiger"/>
          <w:sz w:val="20"/>
        </w:rPr>
      </w:pPr>
    </w:p>
    <w:p>
      <w:pPr>
        <w:pStyle w:val="BodyText"/>
        <w:rPr>
          <w:rFonts w:ascii="Frutiger"/>
          <w:sz w:val="20"/>
        </w:rPr>
      </w:pPr>
    </w:p>
    <w:p>
      <w:pPr>
        <w:pStyle w:val="BodyText"/>
        <w:rPr>
          <w:rFonts w:ascii="Frutiger"/>
          <w:sz w:val="20"/>
        </w:rPr>
      </w:pPr>
    </w:p>
    <w:p>
      <w:pPr>
        <w:pStyle w:val="BodyText"/>
        <w:rPr>
          <w:rFonts w:ascii="Frutiger"/>
          <w:sz w:val="20"/>
        </w:rPr>
      </w:pPr>
    </w:p>
    <w:p>
      <w:pPr>
        <w:pStyle w:val="BodyText"/>
        <w:rPr>
          <w:rFonts w:ascii="Frutiger"/>
          <w:sz w:val="20"/>
        </w:rPr>
      </w:pPr>
    </w:p>
    <w:p>
      <w:pPr>
        <w:pStyle w:val="BodyText"/>
        <w:spacing w:before="7"/>
        <w:rPr>
          <w:rFonts w:ascii="Frutiger"/>
          <w:sz w:val="26"/>
        </w:rPr>
      </w:pPr>
    </w:p>
    <w:p>
      <w:pPr>
        <w:pStyle w:val="Title"/>
        <w:spacing w:line="230" w:lineRule="auto"/>
      </w:pPr>
      <w:r>
        <w:rPr/>
        <w:drawing>
          <wp:anchor distT="0" distB="0" distL="0" distR="0" allowOverlap="1" layoutInCell="1" locked="0" behindDoc="0" simplePos="0" relativeHeight="15729664">
            <wp:simplePos x="0" y="0"/>
            <wp:positionH relativeFrom="page">
              <wp:posOffset>691789</wp:posOffset>
            </wp:positionH>
            <wp:positionV relativeFrom="paragraph">
              <wp:posOffset>-81973</wp:posOffset>
            </wp:positionV>
            <wp:extent cx="1081596" cy="42582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81596" cy="425823"/>
                    </a:xfrm>
                    <a:prstGeom prst="rect">
                      <a:avLst/>
                    </a:prstGeom>
                  </pic:spPr>
                </pic:pic>
              </a:graphicData>
            </a:graphic>
          </wp:anchor>
        </w:drawing>
      </w:r>
      <w:r>
        <w:rPr>
          <w:color w:val="231F20"/>
          <w:spacing w:val="-18"/>
        </w:rPr>
        <w:t>Canada </w:t>
      </w:r>
      <w:r>
        <w:rPr>
          <w:color w:val="231F20"/>
          <w:spacing w:val="-19"/>
        </w:rPr>
        <w:t>Emergency </w:t>
      </w:r>
      <w:r>
        <w:rPr>
          <w:color w:val="231F20"/>
          <w:spacing w:val="-21"/>
        </w:rPr>
        <w:t>Response </w:t>
      </w:r>
      <w:r>
        <w:rPr>
          <w:color w:val="231F20"/>
          <w:spacing w:val="-16"/>
        </w:rPr>
        <w:t>Benefit </w:t>
      </w:r>
      <w:r>
        <w:rPr>
          <w:color w:val="231F20"/>
          <w:spacing w:val="-18"/>
        </w:rPr>
        <w:t>(CERB) </w:t>
      </w:r>
      <w:r>
        <w:rPr>
          <w:color w:val="231F20"/>
          <w:spacing w:val="-21"/>
        </w:rPr>
        <w:t>interactions </w:t>
      </w:r>
      <w:r>
        <w:rPr>
          <w:color w:val="231F20"/>
          <w:spacing w:val="-16"/>
        </w:rPr>
        <w:t>with </w:t>
      </w:r>
      <w:r>
        <w:rPr>
          <w:color w:val="231F20"/>
          <w:spacing w:val="-19"/>
        </w:rPr>
        <w:t>provincial </w:t>
      </w:r>
      <w:r>
        <w:rPr>
          <w:color w:val="231F20"/>
          <w:spacing w:val="-14"/>
        </w:rPr>
        <w:t>and </w:t>
      </w:r>
      <w:r>
        <w:rPr>
          <w:color w:val="231F20"/>
          <w:spacing w:val="-21"/>
        </w:rPr>
        <w:t>territorial </w:t>
      </w:r>
      <w:r>
        <w:rPr>
          <w:color w:val="231F20"/>
          <w:spacing w:val="-18"/>
        </w:rPr>
        <w:t>social </w:t>
      </w:r>
      <w:r>
        <w:rPr>
          <w:color w:val="231F20"/>
          <w:spacing w:val="-19"/>
        </w:rPr>
        <w:t>assistance </w:t>
      </w:r>
      <w:r>
        <w:rPr>
          <w:color w:val="231F20"/>
          <w:spacing w:val="-14"/>
        </w:rPr>
        <w:t>and</w:t>
      </w:r>
      <w:r>
        <w:rPr>
          <w:color w:val="231F20"/>
          <w:spacing w:val="-77"/>
        </w:rPr>
        <w:t> </w:t>
      </w:r>
      <w:r>
        <w:rPr>
          <w:color w:val="231F20"/>
          <w:spacing w:val="-23"/>
        </w:rPr>
        <w:t>subsidized </w:t>
      </w:r>
      <w:r>
        <w:rPr>
          <w:color w:val="231F20"/>
          <w:spacing w:val="-18"/>
        </w:rPr>
        <w:t>housing </w:t>
      </w:r>
      <w:r>
        <w:rPr>
          <w:color w:val="231F20"/>
          <w:spacing w:val="-19"/>
        </w:rPr>
        <w:t>programs </w:t>
      </w:r>
      <w:r>
        <w:rPr>
          <w:color w:val="231F20"/>
          <w:spacing w:val="-14"/>
        </w:rPr>
        <w:t>and </w:t>
      </w:r>
      <w:r>
        <w:rPr>
          <w:color w:val="231F20"/>
          <w:spacing w:val="-21"/>
        </w:rPr>
        <w:t>youth </w:t>
      </w:r>
      <w:r>
        <w:rPr>
          <w:color w:val="231F20"/>
          <w:spacing w:val="-17"/>
        </w:rPr>
        <w:t>aging </w:t>
      </w:r>
      <w:r>
        <w:rPr>
          <w:color w:val="231F20"/>
          <w:spacing w:val="-14"/>
        </w:rPr>
        <w:t>out </w:t>
      </w:r>
      <w:r>
        <w:rPr>
          <w:color w:val="231F20"/>
          <w:spacing w:val="-11"/>
        </w:rPr>
        <w:t>of</w:t>
      </w:r>
      <w:r>
        <w:rPr>
          <w:color w:val="231F20"/>
          <w:spacing w:val="-95"/>
        </w:rPr>
        <w:t> </w:t>
      </w:r>
      <w:r>
        <w:rPr>
          <w:color w:val="231F20"/>
          <w:spacing w:val="-21"/>
        </w:rPr>
        <w:t>care</w:t>
      </w:r>
    </w:p>
    <w:p>
      <w:pPr>
        <w:pStyle w:val="BodyText"/>
        <w:spacing w:before="6"/>
        <w:rPr>
          <w:sz w:val="67"/>
        </w:rPr>
      </w:pPr>
    </w:p>
    <w:p>
      <w:pPr>
        <w:pStyle w:val="Heading1"/>
        <w:ind w:left="3160"/>
      </w:pPr>
      <w:r>
        <w:rPr>
          <w:color w:val="231F20"/>
        </w:rPr>
        <w:t>By Anne Tweddle &amp; John Stapleton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63"/>
        <w:ind w:left="3160" w:right="0" w:firstLine="0"/>
        <w:jc w:val="left"/>
        <w:rPr>
          <w:rFonts w:ascii="Sabon LT Pro"/>
          <w:b/>
          <w:sz w:val="28"/>
        </w:rPr>
      </w:pPr>
      <w:r>
        <w:rPr>
          <w:rFonts w:ascii="Sabon LT Pro"/>
          <w:b/>
          <w:color w:val="231F20"/>
          <w:sz w:val="28"/>
        </w:rPr>
        <w:t>Final update: August 20, 2020</w:t>
      </w:r>
    </w:p>
    <w:p>
      <w:pPr>
        <w:pStyle w:val="BodyText"/>
        <w:spacing w:line="300" w:lineRule="auto" w:before="243"/>
        <w:ind w:left="3160" w:right="148"/>
      </w:pPr>
      <w:r>
        <w:rPr>
          <w:color w:val="231F20"/>
        </w:rPr>
        <w:t>This work was inspired by conversations held by the Atkinson Foundation with income security policy experts on the impacts of COVID-19 on workers and people living in poverty.</w:t>
      </w:r>
    </w:p>
    <w:p>
      <w:pPr>
        <w:pStyle w:val="BodyText"/>
        <w:spacing w:before="180"/>
        <w:ind w:left="3160"/>
      </w:pPr>
      <w:r>
        <w:rPr>
          <w:color w:val="231F20"/>
        </w:rPr>
        <w:t>The work is supported by the Metcalf Foundation and Maytree.</w:t>
      </w:r>
    </w:p>
    <w:p>
      <w:pPr>
        <w:spacing w:after="0"/>
        <w:sectPr>
          <w:type w:val="continuous"/>
          <w:pgSz w:w="12240" w:h="15840"/>
          <w:pgMar w:top="740" w:bottom="280" w:left="980" w:right="1320"/>
        </w:sectPr>
      </w:pPr>
    </w:p>
    <w:p>
      <w:pPr>
        <w:spacing w:before="20"/>
        <w:ind w:left="460" w:right="0" w:firstLine="0"/>
        <w:jc w:val="left"/>
        <w:rPr>
          <w:rFonts w:ascii="FrutigerLTStd-Bold"/>
          <w:b/>
          <w:sz w:val="26"/>
        </w:rPr>
      </w:pPr>
      <w:r>
        <w:rPr>
          <w:rFonts w:ascii="FrutigerLTStd-Bold"/>
          <w:b/>
          <w:color w:val="231F20"/>
          <w:sz w:val="26"/>
        </w:rPr>
        <w:t>BACKGROUND</w:t>
      </w:r>
    </w:p>
    <w:p>
      <w:pPr>
        <w:pStyle w:val="BodyText"/>
        <w:spacing w:line="300" w:lineRule="auto" w:before="163"/>
        <w:ind w:left="460" w:right="1752"/>
      </w:pPr>
      <w:r>
        <w:rPr>
          <w:color w:val="231F20"/>
        </w:rPr>
        <w:t>This policy backgrounder provides an overview of how provincial and territorial governments have decided to treat receipt of the Canada Emergency Response Benefit (CERB) for those receiving social assistance and/or living in subsidized housing. It also looks at provisions for youth aging out of care during the COVID-19 pandemic.</w:t>
      </w:r>
    </w:p>
    <w:p>
      <w:pPr>
        <w:pStyle w:val="BodyText"/>
        <w:spacing w:line="300" w:lineRule="auto" w:before="180"/>
        <w:ind w:left="460" w:right="1752"/>
      </w:pPr>
      <w:r>
        <w:rPr>
          <w:color w:val="231F20"/>
        </w:rPr>
        <w:t>This final version of the document consolidates all information received as of August 20, 2020.</w:t>
      </w:r>
    </w:p>
    <w:p>
      <w:pPr>
        <w:pStyle w:val="BodyText"/>
        <w:spacing w:before="3"/>
        <w:rPr>
          <w:sz w:val="33"/>
        </w:rPr>
      </w:pPr>
    </w:p>
    <w:p>
      <w:pPr>
        <w:pStyle w:val="BodyText"/>
        <w:ind w:left="460"/>
        <w:rPr>
          <w:rFonts w:ascii="Frutiger LT Std"/>
        </w:rPr>
      </w:pPr>
      <w:r>
        <w:rPr>
          <w:rFonts w:ascii="Frutiger LT Std"/>
          <w:color w:val="231F20"/>
        </w:rPr>
        <w:t>Canada Emergency Response Benefit (CERB)</w:t>
      </w:r>
    </w:p>
    <w:p>
      <w:pPr>
        <w:pStyle w:val="ListParagraph"/>
        <w:numPr>
          <w:ilvl w:val="0"/>
          <w:numId w:val="1"/>
        </w:numPr>
        <w:tabs>
          <w:tab w:pos="1179" w:val="left" w:leader="none"/>
          <w:tab w:pos="1180" w:val="left" w:leader="none"/>
        </w:tabs>
        <w:spacing w:line="300" w:lineRule="auto" w:before="169" w:after="0"/>
        <w:ind w:left="1180" w:right="1654" w:hanging="360"/>
        <w:jc w:val="left"/>
        <w:rPr>
          <w:sz w:val="24"/>
        </w:rPr>
      </w:pPr>
      <w:r>
        <w:rPr>
          <w:color w:val="231F20"/>
          <w:spacing w:val="2"/>
          <w:sz w:val="24"/>
        </w:rPr>
        <w:t>In </w:t>
      </w:r>
      <w:r>
        <w:rPr>
          <w:color w:val="231F20"/>
          <w:sz w:val="24"/>
        </w:rPr>
        <w:t>late March, 2020, the Government </w:t>
      </w:r>
      <w:r>
        <w:rPr>
          <w:color w:val="231F20"/>
          <w:spacing w:val="-3"/>
          <w:sz w:val="24"/>
        </w:rPr>
        <w:t>of </w:t>
      </w:r>
      <w:r>
        <w:rPr>
          <w:color w:val="231F20"/>
          <w:sz w:val="24"/>
        </w:rPr>
        <w:t>Canada announced the </w:t>
      </w:r>
      <w:r>
        <w:rPr>
          <w:color w:val="231F20"/>
          <w:spacing w:val="3"/>
          <w:sz w:val="24"/>
        </w:rPr>
        <w:t>CERB. </w:t>
      </w:r>
      <w:r>
        <w:rPr>
          <w:color w:val="231F20"/>
          <w:sz w:val="24"/>
        </w:rPr>
        <w:t>It </w:t>
      </w:r>
      <w:r>
        <w:rPr>
          <w:color w:val="231F20"/>
          <w:spacing w:val="-3"/>
          <w:sz w:val="24"/>
        </w:rPr>
        <w:t>provided </w:t>
      </w:r>
      <w:r>
        <w:rPr>
          <w:color w:val="231F20"/>
          <w:spacing w:val="2"/>
          <w:sz w:val="24"/>
        </w:rPr>
        <w:t>$2,000 </w:t>
      </w:r>
      <w:r>
        <w:rPr>
          <w:color w:val="231F20"/>
          <w:sz w:val="24"/>
        </w:rPr>
        <w:t>a month </w:t>
      </w:r>
      <w:r>
        <w:rPr>
          <w:color w:val="231F20"/>
          <w:spacing w:val="-3"/>
          <w:sz w:val="24"/>
        </w:rPr>
        <w:t>for up </w:t>
      </w:r>
      <w:r>
        <w:rPr>
          <w:color w:val="231F20"/>
          <w:sz w:val="24"/>
        </w:rPr>
        <w:t>to four months to</w:t>
      </w:r>
      <w:r>
        <w:rPr>
          <w:color w:val="231F20"/>
          <w:spacing w:val="-24"/>
          <w:sz w:val="24"/>
        </w:rPr>
        <w:t> </w:t>
      </w:r>
      <w:r>
        <w:rPr>
          <w:color w:val="231F20"/>
          <w:sz w:val="24"/>
        </w:rPr>
        <w:t>persons </w:t>
      </w:r>
      <w:r>
        <w:rPr>
          <w:color w:val="231F20"/>
          <w:spacing w:val="-3"/>
          <w:sz w:val="24"/>
        </w:rPr>
        <w:t>who </w:t>
      </w:r>
      <w:r>
        <w:rPr>
          <w:color w:val="231F20"/>
          <w:sz w:val="24"/>
        </w:rPr>
        <w:t>lost their income as a result </w:t>
      </w:r>
      <w:r>
        <w:rPr>
          <w:color w:val="231F20"/>
          <w:spacing w:val="-3"/>
          <w:sz w:val="24"/>
        </w:rPr>
        <w:t>of COVID-19. </w:t>
      </w:r>
      <w:r>
        <w:rPr>
          <w:color w:val="231F20"/>
          <w:sz w:val="24"/>
        </w:rPr>
        <w:t>On June </w:t>
      </w:r>
      <w:r>
        <w:rPr>
          <w:color w:val="231F20"/>
          <w:spacing w:val="-5"/>
          <w:sz w:val="24"/>
        </w:rPr>
        <w:t>16, </w:t>
      </w:r>
      <w:r>
        <w:rPr>
          <w:color w:val="231F20"/>
          <w:sz w:val="24"/>
        </w:rPr>
        <w:t>2020, the </w:t>
      </w:r>
      <w:r>
        <w:rPr>
          <w:color w:val="231F20"/>
          <w:spacing w:val="3"/>
          <w:sz w:val="24"/>
        </w:rPr>
        <w:t>CERB </w:t>
      </w:r>
      <w:r>
        <w:rPr>
          <w:color w:val="231F20"/>
          <w:sz w:val="24"/>
        </w:rPr>
        <w:t>was extended </w:t>
      </w:r>
      <w:r>
        <w:rPr>
          <w:color w:val="231F20"/>
          <w:spacing w:val="-3"/>
          <w:sz w:val="24"/>
        </w:rPr>
        <w:t>for </w:t>
      </w:r>
      <w:r>
        <w:rPr>
          <w:color w:val="231F20"/>
          <w:sz w:val="24"/>
        </w:rPr>
        <w:t>an additional two months, </w:t>
      </w:r>
      <w:r>
        <w:rPr>
          <w:color w:val="231F20"/>
          <w:spacing w:val="-3"/>
          <w:sz w:val="24"/>
        </w:rPr>
        <w:t>for </w:t>
      </w:r>
      <w:r>
        <w:rPr>
          <w:color w:val="231F20"/>
          <w:sz w:val="24"/>
        </w:rPr>
        <w:t>an overall maximum </w:t>
      </w:r>
      <w:r>
        <w:rPr>
          <w:color w:val="231F20"/>
          <w:spacing w:val="-3"/>
          <w:sz w:val="24"/>
        </w:rPr>
        <w:t>of </w:t>
      </w:r>
      <w:r>
        <w:rPr>
          <w:color w:val="231F20"/>
          <w:sz w:val="24"/>
        </w:rPr>
        <w:t>24 weeks. On August 20, 2020, the</w:t>
      </w:r>
      <w:r>
        <w:rPr>
          <w:color w:val="231F20"/>
          <w:spacing w:val="-10"/>
          <w:sz w:val="24"/>
        </w:rPr>
        <w:t> </w:t>
      </w:r>
      <w:r>
        <w:rPr>
          <w:color w:val="231F20"/>
          <w:spacing w:val="3"/>
          <w:sz w:val="24"/>
        </w:rPr>
        <w:t>CERB</w:t>
      </w:r>
    </w:p>
    <w:p>
      <w:pPr>
        <w:pStyle w:val="BodyText"/>
        <w:spacing w:line="300" w:lineRule="auto"/>
        <w:ind w:left="1180" w:right="1867"/>
        <w:jc w:val="both"/>
      </w:pPr>
      <w:r>
        <w:rPr>
          <w:color w:val="231F20"/>
        </w:rPr>
        <w:t>was extended </w:t>
      </w:r>
      <w:r>
        <w:rPr>
          <w:color w:val="231F20"/>
          <w:spacing w:val="-3"/>
        </w:rPr>
        <w:t>for </w:t>
      </w:r>
      <w:r>
        <w:rPr>
          <w:color w:val="231F20"/>
        </w:rPr>
        <w:t>four </w:t>
      </w:r>
      <w:r>
        <w:rPr>
          <w:color w:val="231F20"/>
          <w:spacing w:val="-3"/>
        </w:rPr>
        <w:t>more </w:t>
      </w:r>
      <w:r>
        <w:rPr>
          <w:color w:val="231F20"/>
        </w:rPr>
        <w:t>weeks, to a maximum </w:t>
      </w:r>
      <w:r>
        <w:rPr>
          <w:color w:val="231F20"/>
          <w:spacing w:val="-3"/>
        </w:rPr>
        <w:t>of </w:t>
      </w:r>
      <w:r>
        <w:rPr>
          <w:color w:val="231F20"/>
        </w:rPr>
        <w:t>28 weeks. At that time, changes to the </w:t>
      </w:r>
      <w:r>
        <w:rPr>
          <w:color w:val="231F20"/>
          <w:spacing w:val="-3"/>
        </w:rPr>
        <w:t>Employment </w:t>
      </w:r>
      <w:r>
        <w:rPr>
          <w:color w:val="231F20"/>
        </w:rPr>
        <w:t>Insurance program and new income support benefits </w:t>
      </w:r>
      <w:r>
        <w:rPr>
          <w:color w:val="231F20"/>
          <w:spacing w:val="-3"/>
        </w:rPr>
        <w:t>were </w:t>
      </w:r>
      <w:r>
        <w:rPr>
          <w:color w:val="231F20"/>
        </w:rPr>
        <w:t>also announced.</w:t>
      </w:r>
    </w:p>
    <w:p>
      <w:pPr>
        <w:pStyle w:val="ListParagraph"/>
        <w:numPr>
          <w:ilvl w:val="0"/>
          <w:numId w:val="1"/>
        </w:numPr>
        <w:tabs>
          <w:tab w:pos="1179" w:val="left" w:leader="none"/>
          <w:tab w:pos="1180" w:val="left" w:leader="none"/>
        </w:tabs>
        <w:spacing w:line="300" w:lineRule="auto" w:before="180" w:after="0"/>
        <w:ind w:left="1180" w:right="2069" w:hanging="360"/>
        <w:jc w:val="left"/>
        <w:rPr>
          <w:sz w:val="24"/>
        </w:rPr>
      </w:pPr>
      <w:r>
        <w:rPr>
          <w:color w:val="231F20"/>
          <w:spacing w:val="3"/>
          <w:sz w:val="24"/>
        </w:rPr>
        <w:t>CERB </w:t>
      </w:r>
      <w:r>
        <w:rPr>
          <w:color w:val="231F20"/>
          <w:sz w:val="24"/>
        </w:rPr>
        <w:t>is </w:t>
      </w:r>
      <w:r>
        <w:rPr>
          <w:color w:val="231F20"/>
          <w:spacing w:val="-3"/>
          <w:sz w:val="24"/>
        </w:rPr>
        <w:t>not </w:t>
      </w:r>
      <w:r>
        <w:rPr>
          <w:color w:val="231F20"/>
          <w:sz w:val="24"/>
        </w:rPr>
        <w:t>a refundable tax credit; </w:t>
      </w:r>
      <w:r>
        <w:rPr>
          <w:color w:val="231F20"/>
          <w:spacing w:val="-3"/>
          <w:sz w:val="24"/>
        </w:rPr>
        <w:t>it </w:t>
      </w:r>
      <w:r>
        <w:rPr>
          <w:color w:val="231F20"/>
          <w:sz w:val="24"/>
        </w:rPr>
        <w:t>is a taxable benefit and a </w:t>
      </w:r>
      <w:r>
        <w:rPr>
          <w:color w:val="231F20"/>
          <w:spacing w:val="-4"/>
          <w:sz w:val="24"/>
        </w:rPr>
        <w:t>T-4A </w:t>
      </w:r>
      <w:r>
        <w:rPr>
          <w:color w:val="231F20"/>
          <w:sz w:val="24"/>
        </w:rPr>
        <w:t>will be issued </w:t>
      </w:r>
      <w:r>
        <w:rPr>
          <w:color w:val="231F20"/>
          <w:spacing w:val="-3"/>
          <w:sz w:val="24"/>
        </w:rPr>
        <w:t>for </w:t>
      </w:r>
      <w:r>
        <w:rPr>
          <w:color w:val="231F20"/>
          <w:sz w:val="24"/>
        </w:rPr>
        <w:t>benefits paid out. Individuals </w:t>
      </w:r>
      <w:r>
        <w:rPr>
          <w:color w:val="231F20"/>
          <w:spacing w:val="-3"/>
          <w:sz w:val="24"/>
        </w:rPr>
        <w:t>who receive </w:t>
      </w:r>
      <w:r>
        <w:rPr>
          <w:color w:val="231F20"/>
          <w:sz w:val="24"/>
        </w:rPr>
        <w:t>benefits they are </w:t>
      </w:r>
      <w:r>
        <w:rPr>
          <w:color w:val="231F20"/>
          <w:spacing w:val="-3"/>
          <w:sz w:val="24"/>
        </w:rPr>
        <w:t>not </w:t>
      </w:r>
      <w:r>
        <w:rPr>
          <w:color w:val="231F20"/>
          <w:sz w:val="24"/>
        </w:rPr>
        <w:t>entitled to will </w:t>
      </w:r>
      <w:r>
        <w:rPr>
          <w:color w:val="231F20"/>
          <w:spacing w:val="-3"/>
          <w:sz w:val="24"/>
        </w:rPr>
        <w:t>have </w:t>
      </w:r>
      <w:r>
        <w:rPr>
          <w:color w:val="231F20"/>
          <w:sz w:val="24"/>
        </w:rPr>
        <w:t>to </w:t>
      </w:r>
      <w:r>
        <w:rPr>
          <w:color w:val="231F20"/>
          <w:spacing w:val="-3"/>
          <w:sz w:val="24"/>
        </w:rPr>
        <w:t>repay</w:t>
      </w:r>
      <w:r>
        <w:rPr>
          <w:color w:val="231F20"/>
          <w:spacing w:val="-8"/>
          <w:sz w:val="24"/>
        </w:rPr>
        <w:t> </w:t>
      </w:r>
      <w:r>
        <w:rPr>
          <w:color w:val="231F20"/>
          <w:sz w:val="24"/>
        </w:rPr>
        <w:t>them.</w:t>
      </w:r>
    </w:p>
    <w:p>
      <w:pPr>
        <w:pStyle w:val="ListParagraph"/>
        <w:numPr>
          <w:ilvl w:val="0"/>
          <w:numId w:val="1"/>
        </w:numPr>
        <w:tabs>
          <w:tab w:pos="1179" w:val="left" w:leader="none"/>
          <w:tab w:pos="1180" w:val="left" w:leader="none"/>
        </w:tabs>
        <w:spacing w:line="300" w:lineRule="auto" w:before="180" w:after="0"/>
        <w:ind w:left="1180" w:right="1840" w:hanging="360"/>
        <w:jc w:val="left"/>
        <w:rPr>
          <w:sz w:val="24"/>
        </w:rPr>
      </w:pPr>
      <w:r>
        <w:rPr>
          <w:color w:val="231F20"/>
          <w:sz w:val="24"/>
        </w:rPr>
        <w:t>Details on the </w:t>
      </w:r>
      <w:r>
        <w:rPr>
          <w:color w:val="231F20"/>
          <w:spacing w:val="3"/>
          <w:sz w:val="24"/>
        </w:rPr>
        <w:t>CERB </w:t>
      </w:r>
      <w:r>
        <w:rPr>
          <w:color w:val="231F20"/>
          <w:sz w:val="24"/>
        </w:rPr>
        <w:t>are </w:t>
      </w:r>
      <w:r>
        <w:rPr>
          <w:color w:val="231F20"/>
          <w:spacing w:val="-3"/>
          <w:sz w:val="24"/>
        </w:rPr>
        <w:t>available at</w:t>
      </w:r>
      <w:hyperlink r:id="rId7">
        <w:r>
          <w:rPr>
            <w:color w:val="0562C1"/>
            <w:spacing w:val="-3"/>
            <w:sz w:val="24"/>
            <w:u w:val="single" w:color="0562C1"/>
          </w:rPr>
          <w:t> </w:t>
        </w:r>
        <w:r>
          <w:rPr>
            <w:color w:val="0562C1"/>
            <w:spacing w:val="-1"/>
            <w:sz w:val="24"/>
            <w:u w:val="single" w:color="0562C1"/>
          </w:rPr>
          <w:t>https://www.canada.ca/en/services/benefits/ei/cerb-application.html</w:t>
        </w:r>
      </w:hyperlink>
    </w:p>
    <w:p>
      <w:pPr>
        <w:pStyle w:val="BodyText"/>
        <w:spacing w:before="3"/>
        <w:rPr>
          <w:sz w:val="33"/>
        </w:rPr>
      </w:pPr>
    </w:p>
    <w:p>
      <w:pPr>
        <w:pStyle w:val="BodyText"/>
        <w:ind w:left="460"/>
        <w:rPr>
          <w:rFonts w:ascii="Frutiger LT Std"/>
        </w:rPr>
      </w:pPr>
      <w:r>
        <w:rPr>
          <w:rFonts w:ascii="Frutiger LT Std"/>
          <w:color w:val="231F20"/>
        </w:rPr>
        <w:t>Social assistance</w:t>
      </w:r>
    </w:p>
    <w:p>
      <w:pPr>
        <w:pStyle w:val="ListParagraph"/>
        <w:numPr>
          <w:ilvl w:val="0"/>
          <w:numId w:val="1"/>
        </w:numPr>
        <w:tabs>
          <w:tab w:pos="1179" w:val="left" w:leader="none"/>
          <w:tab w:pos="1180" w:val="left" w:leader="none"/>
        </w:tabs>
        <w:spacing w:line="300" w:lineRule="auto" w:before="168" w:after="0"/>
        <w:ind w:left="1180" w:right="1863" w:hanging="360"/>
        <w:jc w:val="left"/>
        <w:rPr>
          <w:sz w:val="24"/>
        </w:rPr>
      </w:pPr>
      <w:r>
        <w:rPr>
          <w:color w:val="231F20"/>
          <w:sz w:val="24"/>
        </w:rPr>
        <w:t>On April </w:t>
      </w:r>
      <w:r>
        <w:rPr>
          <w:color w:val="231F20"/>
          <w:spacing w:val="-5"/>
          <w:sz w:val="24"/>
        </w:rPr>
        <w:t>16, </w:t>
      </w:r>
      <w:r>
        <w:rPr>
          <w:color w:val="231F20"/>
          <w:sz w:val="24"/>
        </w:rPr>
        <w:t>2020, a spokesperson </w:t>
      </w:r>
      <w:r>
        <w:rPr>
          <w:color w:val="231F20"/>
          <w:spacing w:val="-3"/>
          <w:sz w:val="24"/>
        </w:rPr>
        <w:t>for </w:t>
      </w:r>
      <w:r>
        <w:rPr>
          <w:color w:val="231F20"/>
          <w:sz w:val="24"/>
        </w:rPr>
        <w:t>Minister Carla Qualtrough said: “Our </w:t>
      </w:r>
      <w:r>
        <w:rPr>
          <w:color w:val="231F20"/>
          <w:spacing w:val="-3"/>
          <w:sz w:val="24"/>
        </w:rPr>
        <w:t>government </w:t>
      </w:r>
      <w:r>
        <w:rPr>
          <w:color w:val="231F20"/>
          <w:sz w:val="24"/>
        </w:rPr>
        <w:t>believes the </w:t>
      </w:r>
      <w:r>
        <w:rPr>
          <w:color w:val="231F20"/>
          <w:spacing w:val="3"/>
          <w:sz w:val="24"/>
        </w:rPr>
        <w:t>CERB </w:t>
      </w:r>
      <w:r>
        <w:rPr>
          <w:color w:val="231F20"/>
          <w:sz w:val="24"/>
        </w:rPr>
        <w:t>needs to be </w:t>
      </w:r>
      <w:r>
        <w:rPr>
          <w:color w:val="231F20"/>
          <w:spacing w:val="-3"/>
          <w:sz w:val="24"/>
        </w:rPr>
        <w:t>considered exempt </w:t>
      </w:r>
      <w:r>
        <w:rPr>
          <w:color w:val="231F20"/>
          <w:sz w:val="24"/>
        </w:rPr>
        <w:t>by provinces and territories in the same </w:t>
      </w:r>
      <w:r>
        <w:rPr>
          <w:color w:val="231F20"/>
          <w:spacing w:val="-4"/>
          <w:sz w:val="24"/>
        </w:rPr>
        <w:t>way </w:t>
      </w:r>
      <w:r>
        <w:rPr>
          <w:color w:val="231F20"/>
          <w:sz w:val="24"/>
        </w:rPr>
        <w:t>as the</w:t>
      </w:r>
      <w:r>
        <w:rPr>
          <w:color w:val="231F20"/>
          <w:spacing w:val="-24"/>
          <w:sz w:val="24"/>
        </w:rPr>
        <w:t> </w:t>
      </w:r>
      <w:r>
        <w:rPr>
          <w:color w:val="231F20"/>
          <w:sz w:val="24"/>
        </w:rPr>
        <w:t>Canada Child Benefit to ensure vulnerable Canadians do </w:t>
      </w:r>
      <w:r>
        <w:rPr>
          <w:color w:val="231F20"/>
          <w:spacing w:val="-3"/>
          <w:sz w:val="24"/>
        </w:rPr>
        <w:t>not </w:t>
      </w:r>
      <w:r>
        <w:rPr>
          <w:color w:val="231F20"/>
          <w:sz w:val="24"/>
        </w:rPr>
        <w:t>fall</w:t>
      </w:r>
      <w:r>
        <w:rPr>
          <w:color w:val="231F20"/>
          <w:spacing w:val="-22"/>
          <w:sz w:val="24"/>
        </w:rPr>
        <w:t> </w:t>
      </w:r>
      <w:r>
        <w:rPr>
          <w:color w:val="231F20"/>
          <w:spacing w:val="-3"/>
          <w:sz w:val="24"/>
        </w:rPr>
        <w:t>behind.”</w:t>
      </w:r>
    </w:p>
    <w:p>
      <w:pPr>
        <w:pStyle w:val="ListParagraph"/>
        <w:numPr>
          <w:ilvl w:val="0"/>
          <w:numId w:val="1"/>
        </w:numPr>
        <w:tabs>
          <w:tab w:pos="1179" w:val="left" w:leader="none"/>
          <w:tab w:pos="1180" w:val="left" w:leader="none"/>
        </w:tabs>
        <w:spacing w:line="300" w:lineRule="auto" w:before="180" w:after="0"/>
        <w:ind w:left="1180" w:right="2091" w:hanging="360"/>
        <w:jc w:val="left"/>
        <w:rPr>
          <w:sz w:val="24"/>
        </w:rPr>
      </w:pPr>
      <w:r>
        <w:rPr>
          <w:color w:val="231F20"/>
          <w:spacing w:val="-10"/>
          <w:sz w:val="24"/>
        </w:rPr>
        <w:t>Two </w:t>
      </w:r>
      <w:r>
        <w:rPr>
          <w:color w:val="231F20"/>
          <w:sz w:val="24"/>
        </w:rPr>
        <w:t>territories </w:t>
      </w:r>
      <w:r>
        <w:rPr>
          <w:color w:val="231F20"/>
          <w:spacing w:val="-5"/>
          <w:sz w:val="24"/>
        </w:rPr>
        <w:t>(Yukon </w:t>
      </w:r>
      <w:r>
        <w:rPr>
          <w:color w:val="231F20"/>
          <w:sz w:val="24"/>
        </w:rPr>
        <w:t>and the Northwest </w:t>
      </w:r>
      <w:r>
        <w:rPr>
          <w:color w:val="231F20"/>
          <w:spacing w:val="-4"/>
          <w:sz w:val="24"/>
        </w:rPr>
        <w:t>Territories) </w:t>
      </w:r>
      <w:r>
        <w:rPr>
          <w:color w:val="231F20"/>
          <w:sz w:val="24"/>
        </w:rPr>
        <w:t>and one province (British </w:t>
      </w:r>
      <w:r>
        <w:rPr>
          <w:color w:val="231F20"/>
          <w:spacing w:val="-3"/>
          <w:sz w:val="24"/>
        </w:rPr>
        <w:t>Columbia) </w:t>
      </w:r>
      <w:r>
        <w:rPr>
          <w:color w:val="231F20"/>
          <w:sz w:val="24"/>
        </w:rPr>
        <w:t>are fully exempting the </w:t>
      </w:r>
      <w:r>
        <w:rPr>
          <w:color w:val="231F20"/>
          <w:spacing w:val="3"/>
          <w:sz w:val="24"/>
        </w:rPr>
        <w:t>CERB.</w:t>
      </w:r>
      <w:r>
        <w:rPr>
          <w:color w:val="231F20"/>
          <w:spacing w:val="-20"/>
          <w:sz w:val="24"/>
        </w:rPr>
        <w:t> </w:t>
      </w:r>
      <w:r>
        <w:rPr>
          <w:color w:val="231F20"/>
          <w:sz w:val="24"/>
        </w:rPr>
        <w:t>That</w:t>
      </w:r>
    </w:p>
    <w:p>
      <w:pPr>
        <w:spacing w:after="0" w:line="300" w:lineRule="auto"/>
        <w:jc w:val="left"/>
        <w:rPr>
          <w:sz w:val="24"/>
        </w:rPr>
        <w:sectPr>
          <w:footerReference w:type="default" r:id="rId6"/>
          <w:pgSz w:w="12240" w:h="15840"/>
          <w:pgMar w:footer="723" w:header="0" w:top="1400" w:bottom="920" w:left="980" w:right="1320"/>
          <w:pgNumType w:start="1"/>
        </w:sectPr>
      </w:pPr>
    </w:p>
    <w:p>
      <w:pPr>
        <w:pStyle w:val="BodyText"/>
        <w:spacing w:line="300" w:lineRule="auto" w:before="92"/>
        <w:ind w:left="1180" w:right="1568"/>
      </w:pPr>
      <w:r>
        <w:rPr>
          <w:color w:val="231F20"/>
        </w:rPr>
        <w:t>means that someone receiving social assistance and the </w:t>
      </w:r>
      <w:r>
        <w:rPr>
          <w:color w:val="231F20"/>
          <w:spacing w:val="3"/>
        </w:rPr>
        <w:t>CERB </w:t>
      </w:r>
      <w:r>
        <w:rPr>
          <w:color w:val="231F20"/>
        </w:rPr>
        <w:t>in these jurisdictions will </w:t>
      </w:r>
      <w:r>
        <w:rPr>
          <w:color w:val="231F20"/>
          <w:spacing w:val="-3"/>
        </w:rPr>
        <w:t>not </w:t>
      </w:r>
      <w:r>
        <w:rPr>
          <w:color w:val="231F20"/>
        </w:rPr>
        <w:t>see their social assistance income</w:t>
      </w:r>
      <w:r>
        <w:rPr>
          <w:color w:val="231F20"/>
          <w:spacing w:val="-10"/>
        </w:rPr>
        <w:t> </w:t>
      </w:r>
      <w:r>
        <w:rPr>
          <w:color w:val="231F20"/>
        </w:rPr>
        <w:t>decrease.</w:t>
      </w:r>
    </w:p>
    <w:p>
      <w:pPr>
        <w:pStyle w:val="ListParagraph"/>
        <w:numPr>
          <w:ilvl w:val="0"/>
          <w:numId w:val="1"/>
        </w:numPr>
        <w:tabs>
          <w:tab w:pos="1179" w:val="left" w:leader="none"/>
          <w:tab w:pos="1180" w:val="left" w:leader="none"/>
        </w:tabs>
        <w:spacing w:line="300" w:lineRule="auto" w:before="180" w:after="0"/>
        <w:ind w:left="1180" w:right="1578" w:hanging="360"/>
        <w:jc w:val="left"/>
        <w:rPr>
          <w:sz w:val="24"/>
        </w:rPr>
      </w:pPr>
      <w:r>
        <w:rPr>
          <w:color w:val="231F20"/>
          <w:sz w:val="24"/>
        </w:rPr>
        <w:t>Four provinces are treating the </w:t>
      </w:r>
      <w:r>
        <w:rPr>
          <w:color w:val="231F20"/>
          <w:spacing w:val="3"/>
          <w:sz w:val="24"/>
        </w:rPr>
        <w:t>CERB </w:t>
      </w:r>
      <w:r>
        <w:rPr>
          <w:color w:val="231F20"/>
          <w:sz w:val="24"/>
        </w:rPr>
        <w:t>as earned income and offering their </w:t>
      </w:r>
      <w:r>
        <w:rPr>
          <w:color w:val="231F20"/>
          <w:spacing w:val="-3"/>
          <w:sz w:val="24"/>
        </w:rPr>
        <w:t>exemptions </w:t>
      </w:r>
      <w:r>
        <w:rPr>
          <w:color w:val="231F20"/>
          <w:sz w:val="24"/>
        </w:rPr>
        <w:t>on earned income (Alberta, Manitoba, Ontario, and </w:t>
      </w:r>
      <w:r>
        <w:rPr>
          <w:color w:val="231F20"/>
          <w:spacing w:val="-3"/>
          <w:sz w:val="24"/>
        </w:rPr>
        <w:t>Quebec). </w:t>
      </w:r>
      <w:r>
        <w:rPr>
          <w:color w:val="231F20"/>
          <w:sz w:val="24"/>
        </w:rPr>
        <w:t>This means that someone receiving social assistance</w:t>
      </w:r>
      <w:r>
        <w:rPr>
          <w:color w:val="231F20"/>
          <w:spacing w:val="-9"/>
          <w:sz w:val="24"/>
        </w:rPr>
        <w:t> </w:t>
      </w:r>
      <w:r>
        <w:rPr>
          <w:color w:val="231F20"/>
          <w:sz w:val="24"/>
        </w:rPr>
        <w:t>and</w:t>
      </w:r>
    </w:p>
    <w:p>
      <w:pPr>
        <w:pStyle w:val="BodyText"/>
        <w:spacing w:line="300" w:lineRule="auto"/>
        <w:ind w:left="1180" w:right="1712"/>
      </w:pPr>
      <w:r>
        <w:rPr>
          <w:color w:val="231F20"/>
        </w:rPr>
        <w:t>the CERB in these provinces will have their social assistance income clawed back by the same amount as employment earnings.</w:t>
      </w:r>
    </w:p>
    <w:p>
      <w:pPr>
        <w:pStyle w:val="ListParagraph"/>
        <w:numPr>
          <w:ilvl w:val="0"/>
          <w:numId w:val="1"/>
        </w:numPr>
        <w:tabs>
          <w:tab w:pos="1179" w:val="left" w:leader="none"/>
          <w:tab w:pos="1180" w:val="left" w:leader="none"/>
        </w:tabs>
        <w:spacing w:line="300" w:lineRule="auto" w:before="180" w:after="0"/>
        <w:ind w:left="1180" w:right="1585" w:hanging="360"/>
        <w:jc w:val="left"/>
        <w:rPr>
          <w:sz w:val="24"/>
        </w:rPr>
      </w:pPr>
      <w:r>
        <w:rPr>
          <w:color w:val="231F20"/>
          <w:spacing w:val="-4"/>
          <w:sz w:val="24"/>
        </w:rPr>
        <w:t>Five </w:t>
      </w:r>
      <w:r>
        <w:rPr>
          <w:color w:val="231F20"/>
          <w:sz w:val="24"/>
        </w:rPr>
        <w:t>provinces and one territory are treating the </w:t>
      </w:r>
      <w:r>
        <w:rPr>
          <w:color w:val="231F20"/>
          <w:spacing w:val="3"/>
          <w:sz w:val="24"/>
        </w:rPr>
        <w:t>CERB </w:t>
      </w:r>
      <w:r>
        <w:rPr>
          <w:color w:val="231F20"/>
          <w:sz w:val="24"/>
        </w:rPr>
        <w:t>as unearned income (Saskatchewan, New Brunswick, </w:t>
      </w:r>
      <w:r>
        <w:rPr>
          <w:color w:val="231F20"/>
          <w:spacing w:val="-4"/>
          <w:sz w:val="24"/>
        </w:rPr>
        <w:t>Nova </w:t>
      </w:r>
      <w:r>
        <w:rPr>
          <w:color w:val="231F20"/>
          <w:sz w:val="24"/>
        </w:rPr>
        <w:t>Scotia, Prince Edward Island, Newfoundland and </w:t>
      </w:r>
      <w:r>
        <w:rPr>
          <w:color w:val="231F20"/>
          <w:spacing w:val="-4"/>
          <w:sz w:val="24"/>
        </w:rPr>
        <w:t>Labrador, </w:t>
      </w:r>
      <w:r>
        <w:rPr>
          <w:color w:val="231F20"/>
          <w:sz w:val="24"/>
        </w:rPr>
        <w:t>and </w:t>
      </w:r>
      <w:r>
        <w:rPr>
          <w:color w:val="231F20"/>
          <w:spacing w:val="-3"/>
          <w:sz w:val="24"/>
        </w:rPr>
        <w:t>Nunavut) </w:t>
      </w:r>
      <w:r>
        <w:rPr>
          <w:color w:val="231F20"/>
          <w:sz w:val="24"/>
        </w:rPr>
        <w:t>and thus are reducing social assistance benefits dollar </w:t>
      </w:r>
      <w:r>
        <w:rPr>
          <w:color w:val="231F20"/>
          <w:spacing w:val="-3"/>
          <w:sz w:val="24"/>
        </w:rPr>
        <w:t>for</w:t>
      </w:r>
      <w:r>
        <w:rPr>
          <w:color w:val="231F20"/>
          <w:spacing w:val="-5"/>
          <w:sz w:val="24"/>
        </w:rPr>
        <w:t> </w:t>
      </w:r>
      <w:r>
        <w:rPr>
          <w:color w:val="231F20"/>
          <w:spacing w:val="-3"/>
          <w:sz w:val="24"/>
        </w:rPr>
        <w:t>dollar.</w:t>
      </w:r>
    </w:p>
    <w:p>
      <w:pPr>
        <w:pStyle w:val="ListParagraph"/>
        <w:numPr>
          <w:ilvl w:val="0"/>
          <w:numId w:val="1"/>
        </w:numPr>
        <w:tabs>
          <w:tab w:pos="1179" w:val="left" w:leader="none"/>
          <w:tab w:pos="1180" w:val="left" w:leader="none"/>
        </w:tabs>
        <w:spacing w:line="300" w:lineRule="auto" w:before="180" w:after="0"/>
        <w:ind w:left="1180" w:right="2354" w:hanging="360"/>
        <w:jc w:val="left"/>
        <w:rPr>
          <w:sz w:val="24"/>
        </w:rPr>
      </w:pPr>
      <w:r>
        <w:rPr>
          <w:color w:val="231F20"/>
          <w:sz w:val="24"/>
        </w:rPr>
        <w:t>The treatment </w:t>
      </w:r>
      <w:r>
        <w:rPr>
          <w:color w:val="231F20"/>
          <w:spacing w:val="-3"/>
          <w:sz w:val="24"/>
        </w:rPr>
        <w:t>of </w:t>
      </w:r>
      <w:r>
        <w:rPr>
          <w:color w:val="231F20"/>
          <w:sz w:val="24"/>
        </w:rPr>
        <w:t>the </w:t>
      </w:r>
      <w:r>
        <w:rPr>
          <w:color w:val="231F20"/>
          <w:spacing w:val="3"/>
          <w:sz w:val="24"/>
        </w:rPr>
        <w:t>CERB </w:t>
      </w:r>
      <w:r>
        <w:rPr>
          <w:color w:val="231F20"/>
          <w:spacing w:val="-3"/>
          <w:sz w:val="24"/>
        </w:rPr>
        <w:t>for </w:t>
      </w:r>
      <w:r>
        <w:rPr>
          <w:color w:val="231F20"/>
          <w:sz w:val="24"/>
        </w:rPr>
        <w:t>First Nations on reserve</w:t>
      </w:r>
      <w:r>
        <w:rPr>
          <w:color w:val="231F20"/>
          <w:spacing w:val="-23"/>
          <w:sz w:val="24"/>
        </w:rPr>
        <w:t> </w:t>
      </w:r>
      <w:r>
        <w:rPr>
          <w:color w:val="231F20"/>
          <w:sz w:val="24"/>
        </w:rPr>
        <w:t>social assistance programs mirrors that </w:t>
      </w:r>
      <w:r>
        <w:rPr>
          <w:color w:val="231F20"/>
          <w:spacing w:val="-3"/>
          <w:sz w:val="24"/>
        </w:rPr>
        <w:t>of </w:t>
      </w:r>
      <w:r>
        <w:rPr>
          <w:color w:val="231F20"/>
          <w:sz w:val="24"/>
        </w:rPr>
        <w:t>provincial and territorial governments.</w:t>
      </w:r>
    </w:p>
    <w:p>
      <w:pPr>
        <w:pStyle w:val="BodyText"/>
        <w:spacing w:before="2"/>
        <w:rPr>
          <w:sz w:val="33"/>
        </w:rPr>
      </w:pPr>
    </w:p>
    <w:p>
      <w:pPr>
        <w:pStyle w:val="BodyText"/>
        <w:spacing w:before="1"/>
        <w:ind w:left="460"/>
        <w:rPr>
          <w:rFonts w:ascii="Frutiger LT Std"/>
        </w:rPr>
      </w:pPr>
      <w:r>
        <w:rPr>
          <w:rFonts w:ascii="Frutiger LT Std"/>
          <w:color w:val="231F20"/>
        </w:rPr>
        <w:t>Subsidized housing</w:t>
      </w:r>
    </w:p>
    <w:p>
      <w:pPr>
        <w:pStyle w:val="ListParagraph"/>
        <w:numPr>
          <w:ilvl w:val="0"/>
          <w:numId w:val="1"/>
        </w:numPr>
        <w:tabs>
          <w:tab w:pos="1179" w:val="left" w:leader="none"/>
          <w:tab w:pos="1180" w:val="left" w:leader="none"/>
        </w:tabs>
        <w:spacing w:line="300" w:lineRule="auto" w:before="168" w:after="0"/>
        <w:ind w:left="1180" w:right="1692" w:hanging="360"/>
        <w:jc w:val="left"/>
        <w:rPr>
          <w:sz w:val="24"/>
        </w:rPr>
      </w:pPr>
      <w:r>
        <w:rPr>
          <w:color w:val="231F20"/>
          <w:sz w:val="24"/>
        </w:rPr>
        <w:t>The Canada Mortgage and Housing Corporation allows an </w:t>
      </w:r>
      <w:r>
        <w:rPr>
          <w:color w:val="231F20"/>
          <w:spacing w:val="-3"/>
          <w:sz w:val="24"/>
        </w:rPr>
        <w:t>exemption </w:t>
      </w:r>
      <w:r>
        <w:rPr>
          <w:color w:val="231F20"/>
          <w:sz w:val="24"/>
        </w:rPr>
        <w:t>on earned income </w:t>
      </w:r>
      <w:r>
        <w:rPr>
          <w:color w:val="231F20"/>
          <w:spacing w:val="-3"/>
          <w:sz w:val="24"/>
        </w:rPr>
        <w:t>of </w:t>
      </w:r>
      <w:r>
        <w:rPr>
          <w:color w:val="231F20"/>
          <w:spacing w:val="-8"/>
          <w:sz w:val="24"/>
        </w:rPr>
        <w:t>$75 </w:t>
      </w:r>
      <w:r>
        <w:rPr>
          <w:color w:val="231F20"/>
          <w:spacing w:val="-3"/>
          <w:sz w:val="24"/>
        </w:rPr>
        <w:t>for </w:t>
      </w:r>
      <w:r>
        <w:rPr>
          <w:color w:val="231F20"/>
          <w:sz w:val="24"/>
        </w:rPr>
        <w:t>a single person and </w:t>
      </w:r>
      <w:r>
        <w:rPr>
          <w:color w:val="231F20"/>
          <w:spacing w:val="-6"/>
          <w:sz w:val="24"/>
        </w:rPr>
        <w:t>$150 </w:t>
      </w:r>
      <w:r>
        <w:rPr>
          <w:color w:val="231F20"/>
          <w:spacing w:val="-3"/>
          <w:sz w:val="24"/>
        </w:rPr>
        <w:t>for </w:t>
      </w:r>
      <w:r>
        <w:rPr>
          <w:color w:val="231F20"/>
          <w:sz w:val="24"/>
        </w:rPr>
        <w:t>a </w:t>
      </w:r>
      <w:r>
        <w:rPr>
          <w:color w:val="231F20"/>
          <w:spacing w:val="-3"/>
          <w:sz w:val="24"/>
        </w:rPr>
        <w:t>family. </w:t>
      </w:r>
      <w:r>
        <w:rPr>
          <w:color w:val="231F20"/>
          <w:sz w:val="24"/>
        </w:rPr>
        <w:t>No </w:t>
      </w:r>
      <w:r>
        <w:rPr>
          <w:color w:val="231F20"/>
          <w:spacing w:val="-3"/>
          <w:sz w:val="24"/>
        </w:rPr>
        <w:t>exemption </w:t>
      </w:r>
      <w:r>
        <w:rPr>
          <w:color w:val="231F20"/>
          <w:sz w:val="24"/>
        </w:rPr>
        <w:t>is allowed </w:t>
      </w:r>
      <w:r>
        <w:rPr>
          <w:color w:val="231F20"/>
          <w:spacing w:val="-3"/>
          <w:sz w:val="24"/>
        </w:rPr>
        <w:t>for </w:t>
      </w:r>
      <w:r>
        <w:rPr>
          <w:color w:val="231F20"/>
          <w:sz w:val="24"/>
        </w:rPr>
        <w:t>EI benefits. </w:t>
      </w:r>
      <w:r>
        <w:rPr>
          <w:color w:val="231F20"/>
          <w:spacing w:val="3"/>
          <w:sz w:val="24"/>
        </w:rPr>
        <w:t>Thirty </w:t>
      </w:r>
      <w:r>
        <w:rPr>
          <w:color w:val="231F20"/>
          <w:sz w:val="24"/>
        </w:rPr>
        <w:t>percent </w:t>
      </w:r>
      <w:r>
        <w:rPr>
          <w:color w:val="231F20"/>
          <w:spacing w:val="-3"/>
          <w:sz w:val="24"/>
        </w:rPr>
        <w:t>of </w:t>
      </w:r>
      <w:r>
        <w:rPr>
          <w:color w:val="231F20"/>
          <w:sz w:val="24"/>
        </w:rPr>
        <w:t>the remainder is charged in</w:t>
      </w:r>
      <w:r>
        <w:rPr>
          <w:color w:val="231F20"/>
          <w:spacing w:val="-2"/>
          <w:sz w:val="24"/>
        </w:rPr>
        <w:t> </w:t>
      </w:r>
      <w:r>
        <w:rPr>
          <w:color w:val="231F20"/>
          <w:sz w:val="24"/>
        </w:rPr>
        <w:t>rent.</w:t>
      </w:r>
    </w:p>
    <w:p>
      <w:pPr>
        <w:pStyle w:val="ListParagraph"/>
        <w:numPr>
          <w:ilvl w:val="0"/>
          <w:numId w:val="1"/>
        </w:numPr>
        <w:tabs>
          <w:tab w:pos="1179" w:val="left" w:leader="none"/>
          <w:tab w:pos="1180" w:val="left" w:leader="none"/>
        </w:tabs>
        <w:spacing w:line="300" w:lineRule="auto" w:before="180" w:after="0"/>
        <w:ind w:left="1180" w:right="2371" w:hanging="360"/>
        <w:jc w:val="left"/>
        <w:rPr>
          <w:sz w:val="24"/>
        </w:rPr>
      </w:pPr>
      <w:r>
        <w:rPr>
          <w:color w:val="231F20"/>
          <w:spacing w:val="-4"/>
          <w:sz w:val="24"/>
        </w:rPr>
        <w:t>Treatment </w:t>
      </w:r>
      <w:r>
        <w:rPr>
          <w:color w:val="231F20"/>
          <w:spacing w:val="-3"/>
          <w:sz w:val="24"/>
        </w:rPr>
        <w:t>of </w:t>
      </w:r>
      <w:r>
        <w:rPr>
          <w:color w:val="231F20"/>
          <w:sz w:val="24"/>
        </w:rPr>
        <w:t>the </w:t>
      </w:r>
      <w:r>
        <w:rPr>
          <w:color w:val="231F20"/>
          <w:spacing w:val="3"/>
          <w:sz w:val="24"/>
        </w:rPr>
        <w:t>CERB </w:t>
      </w:r>
      <w:r>
        <w:rPr>
          <w:color w:val="231F20"/>
          <w:sz w:val="24"/>
        </w:rPr>
        <w:t>in determining subsidized rents varies </w:t>
      </w:r>
      <w:r>
        <w:rPr>
          <w:color w:val="231F20"/>
          <w:spacing w:val="-3"/>
          <w:sz w:val="24"/>
        </w:rPr>
        <w:t>considerably </w:t>
      </w:r>
      <w:r>
        <w:rPr>
          <w:color w:val="231F20"/>
          <w:sz w:val="24"/>
        </w:rPr>
        <w:t>across</w:t>
      </w:r>
      <w:r>
        <w:rPr>
          <w:color w:val="231F20"/>
          <w:spacing w:val="2"/>
          <w:sz w:val="24"/>
        </w:rPr>
        <w:t> </w:t>
      </w:r>
      <w:r>
        <w:rPr>
          <w:color w:val="231F20"/>
          <w:sz w:val="24"/>
        </w:rPr>
        <w:t>jurisdictions.</w:t>
      </w:r>
    </w:p>
    <w:p>
      <w:pPr>
        <w:pStyle w:val="BodyText"/>
        <w:spacing w:before="3"/>
        <w:rPr>
          <w:sz w:val="33"/>
        </w:rPr>
      </w:pPr>
    </w:p>
    <w:p>
      <w:pPr>
        <w:pStyle w:val="BodyText"/>
        <w:ind w:left="460"/>
        <w:rPr>
          <w:rFonts w:ascii="Frutiger LT Std"/>
        </w:rPr>
      </w:pPr>
      <w:r>
        <w:rPr>
          <w:rFonts w:ascii="Frutiger LT Std"/>
          <w:color w:val="231F20"/>
        </w:rPr>
        <w:t>Youth aging out of care</w:t>
      </w:r>
    </w:p>
    <w:p>
      <w:pPr>
        <w:pStyle w:val="ListParagraph"/>
        <w:numPr>
          <w:ilvl w:val="0"/>
          <w:numId w:val="1"/>
        </w:numPr>
        <w:tabs>
          <w:tab w:pos="1179" w:val="left" w:leader="none"/>
          <w:tab w:pos="1180" w:val="left" w:leader="none"/>
        </w:tabs>
        <w:spacing w:line="300" w:lineRule="auto" w:before="169" w:after="0"/>
        <w:ind w:left="1180" w:right="2228" w:hanging="360"/>
        <w:jc w:val="left"/>
        <w:rPr>
          <w:sz w:val="24"/>
        </w:rPr>
      </w:pPr>
      <w:r>
        <w:rPr>
          <w:color w:val="231F20"/>
          <w:sz w:val="24"/>
        </w:rPr>
        <w:t>Most jurisdictions are extending child welfare services to</w:t>
      </w:r>
      <w:r>
        <w:rPr>
          <w:color w:val="231F20"/>
          <w:spacing w:val="-24"/>
          <w:sz w:val="24"/>
        </w:rPr>
        <w:t> </w:t>
      </w:r>
      <w:r>
        <w:rPr>
          <w:color w:val="231F20"/>
          <w:spacing w:val="-3"/>
          <w:sz w:val="24"/>
        </w:rPr>
        <w:t>youth </w:t>
      </w:r>
      <w:r>
        <w:rPr>
          <w:color w:val="231F20"/>
          <w:sz w:val="24"/>
        </w:rPr>
        <w:t>reaching adulthood or receiving extended services in their jurisdictions during the crisis</w:t>
      </w:r>
      <w:r>
        <w:rPr>
          <w:color w:val="231F20"/>
          <w:spacing w:val="-2"/>
          <w:sz w:val="24"/>
        </w:rPr>
        <w:t> </w:t>
      </w:r>
      <w:r>
        <w:rPr>
          <w:color w:val="231F20"/>
          <w:sz w:val="24"/>
        </w:rPr>
        <w:t>period.</w:t>
      </w:r>
    </w:p>
    <w:p>
      <w:pPr>
        <w:pStyle w:val="ListParagraph"/>
        <w:numPr>
          <w:ilvl w:val="0"/>
          <w:numId w:val="1"/>
        </w:numPr>
        <w:tabs>
          <w:tab w:pos="1179" w:val="left" w:leader="none"/>
          <w:tab w:pos="1180" w:val="left" w:leader="none"/>
        </w:tabs>
        <w:spacing w:line="300" w:lineRule="auto" w:before="180" w:after="0"/>
        <w:ind w:left="1180" w:right="2726" w:hanging="360"/>
        <w:jc w:val="left"/>
        <w:rPr>
          <w:sz w:val="24"/>
        </w:rPr>
      </w:pPr>
      <w:r>
        <w:rPr>
          <w:color w:val="231F20"/>
          <w:spacing w:val="-6"/>
          <w:sz w:val="24"/>
        </w:rPr>
        <w:t>Youth </w:t>
      </w:r>
      <w:r>
        <w:rPr>
          <w:color w:val="231F20"/>
          <w:sz w:val="24"/>
        </w:rPr>
        <w:t>in Care Canada prepared an overview </w:t>
      </w:r>
      <w:r>
        <w:rPr>
          <w:color w:val="231F20"/>
          <w:spacing w:val="-3"/>
          <w:sz w:val="24"/>
        </w:rPr>
        <w:t>of </w:t>
      </w:r>
      <w:r>
        <w:rPr>
          <w:color w:val="231F20"/>
          <w:sz w:val="24"/>
        </w:rPr>
        <w:t>provincial and territorial </w:t>
      </w:r>
      <w:r>
        <w:rPr>
          <w:color w:val="231F20"/>
          <w:spacing w:val="-3"/>
          <w:sz w:val="24"/>
        </w:rPr>
        <w:t>provisions for youth </w:t>
      </w:r>
      <w:r>
        <w:rPr>
          <w:color w:val="231F20"/>
          <w:sz w:val="24"/>
        </w:rPr>
        <w:t>transitioning from care during the COVID-19 pandemic. See</w:t>
      </w:r>
      <w:r>
        <w:rPr>
          <w:color w:val="0562C1"/>
          <w:sz w:val="24"/>
        </w:rPr>
        <w:t> </w:t>
      </w:r>
      <w:hyperlink r:id="rId8">
        <w:r>
          <w:rPr>
            <w:color w:val="0562C1"/>
            <w:spacing w:val="-3"/>
            <w:sz w:val="24"/>
            <w:u w:val="single" w:color="0562C1"/>
          </w:rPr>
          <w:t>https://7f9b59af-</w:t>
        </w:r>
      </w:hyperlink>
      <w:hyperlink r:id="rId8">
        <w:r>
          <w:rPr>
            <w:color w:val="0562C1"/>
            <w:spacing w:val="-3"/>
            <w:sz w:val="24"/>
            <w:u w:val="single" w:color="0562C1"/>
          </w:rPr>
          <w:t> </w:t>
        </w:r>
        <w:r>
          <w:rPr>
            <w:color w:val="0562C1"/>
            <w:sz w:val="24"/>
            <w:u w:val="single" w:color="0562C1"/>
          </w:rPr>
          <w:t>af92-41cd-8e6c-aa2870f170de.filesusr.com/ugd/f54667_</w:t>
        </w:r>
      </w:hyperlink>
      <w:hyperlink r:id="rId8">
        <w:r>
          <w:rPr>
            <w:color w:val="0562C1"/>
            <w:sz w:val="24"/>
            <w:u w:val="single" w:color="0562C1"/>
          </w:rPr>
          <w:t> </w:t>
        </w:r>
        <w:r>
          <w:rPr>
            <w:color w:val="0562C1"/>
            <w:spacing w:val="-3"/>
            <w:sz w:val="24"/>
            <w:u w:val="single" w:color="0562C1"/>
          </w:rPr>
          <w:t>ebf43dd50cd04af0876a7b2744dfd6ae.pdf</w:t>
        </w:r>
      </w:hyperlink>
    </w:p>
    <w:p>
      <w:pPr>
        <w:spacing w:after="0" w:line="300" w:lineRule="auto"/>
        <w:jc w:val="left"/>
        <w:rPr>
          <w:sz w:val="24"/>
        </w:rPr>
        <w:sectPr>
          <w:pgSz w:w="12240" w:h="15840"/>
          <w:pgMar w:header="0" w:footer="723" w:top="1300" w:bottom="920" w:left="980" w:right="1320"/>
        </w:sectPr>
      </w:pPr>
    </w:p>
    <w:p>
      <w:pPr>
        <w:pStyle w:val="BodyText"/>
        <w:spacing w:before="27"/>
        <w:ind w:left="460"/>
        <w:rPr>
          <w:rFonts w:ascii="Frutiger LT Std"/>
        </w:rPr>
      </w:pPr>
      <w:r>
        <w:rPr>
          <w:rFonts w:ascii="Frutiger LT Std"/>
          <w:color w:val="231F20"/>
        </w:rPr>
        <w:t>COVID-19 Disability Benefit</w:t>
      </w:r>
    </w:p>
    <w:p>
      <w:pPr>
        <w:pStyle w:val="ListParagraph"/>
        <w:numPr>
          <w:ilvl w:val="0"/>
          <w:numId w:val="1"/>
        </w:numPr>
        <w:tabs>
          <w:tab w:pos="1179" w:val="left" w:leader="none"/>
          <w:tab w:pos="1180" w:val="left" w:leader="none"/>
        </w:tabs>
        <w:spacing w:line="300" w:lineRule="auto" w:before="169" w:after="0"/>
        <w:ind w:left="1180" w:right="1702" w:hanging="360"/>
        <w:jc w:val="left"/>
        <w:rPr>
          <w:sz w:val="24"/>
        </w:rPr>
      </w:pPr>
      <w:r>
        <w:rPr>
          <w:color w:val="231F20"/>
          <w:sz w:val="24"/>
        </w:rPr>
        <w:t>On June </w:t>
      </w:r>
      <w:r>
        <w:rPr>
          <w:color w:val="231F20"/>
          <w:spacing w:val="-3"/>
          <w:sz w:val="24"/>
        </w:rPr>
        <w:t>5, </w:t>
      </w:r>
      <w:r>
        <w:rPr>
          <w:color w:val="231F20"/>
          <w:sz w:val="24"/>
        </w:rPr>
        <w:t>2020, the federal </w:t>
      </w:r>
      <w:r>
        <w:rPr>
          <w:color w:val="231F20"/>
          <w:spacing w:val="-3"/>
          <w:sz w:val="24"/>
        </w:rPr>
        <w:t>government </w:t>
      </w:r>
      <w:r>
        <w:rPr>
          <w:color w:val="231F20"/>
          <w:sz w:val="24"/>
        </w:rPr>
        <w:t>announced a one-time payment </w:t>
      </w:r>
      <w:r>
        <w:rPr>
          <w:color w:val="231F20"/>
          <w:spacing w:val="-3"/>
          <w:sz w:val="24"/>
        </w:rPr>
        <w:t>of up </w:t>
      </w:r>
      <w:r>
        <w:rPr>
          <w:color w:val="231F20"/>
          <w:sz w:val="24"/>
        </w:rPr>
        <w:t>to $600 </w:t>
      </w:r>
      <w:r>
        <w:rPr>
          <w:color w:val="231F20"/>
          <w:spacing w:val="-3"/>
          <w:sz w:val="24"/>
        </w:rPr>
        <w:t>for </w:t>
      </w:r>
      <w:r>
        <w:rPr>
          <w:color w:val="231F20"/>
          <w:sz w:val="24"/>
        </w:rPr>
        <w:t>Canadians eligible </w:t>
      </w:r>
      <w:r>
        <w:rPr>
          <w:color w:val="231F20"/>
          <w:spacing w:val="-3"/>
          <w:sz w:val="24"/>
        </w:rPr>
        <w:t>for </w:t>
      </w:r>
      <w:r>
        <w:rPr>
          <w:color w:val="231F20"/>
          <w:sz w:val="24"/>
        </w:rPr>
        <w:t>the Disability </w:t>
      </w:r>
      <w:r>
        <w:rPr>
          <w:color w:val="231F20"/>
          <w:spacing w:val="-5"/>
          <w:sz w:val="24"/>
        </w:rPr>
        <w:t>Tax </w:t>
      </w:r>
      <w:r>
        <w:rPr>
          <w:color w:val="231F20"/>
          <w:sz w:val="24"/>
        </w:rPr>
        <w:t>Credit </w:t>
      </w:r>
      <w:r>
        <w:rPr>
          <w:color w:val="231F20"/>
          <w:spacing w:val="-4"/>
          <w:sz w:val="24"/>
        </w:rPr>
        <w:t>(DTC). However, </w:t>
      </w:r>
      <w:r>
        <w:rPr>
          <w:color w:val="231F20"/>
          <w:sz w:val="24"/>
        </w:rPr>
        <w:t>the bill was </w:t>
      </w:r>
      <w:r>
        <w:rPr>
          <w:color w:val="231F20"/>
          <w:spacing w:val="-3"/>
          <w:sz w:val="24"/>
        </w:rPr>
        <w:t>not </w:t>
      </w:r>
      <w:r>
        <w:rPr>
          <w:color w:val="231F20"/>
          <w:sz w:val="24"/>
        </w:rPr>
        <w:t>passed in the House </w:t>
      </w:r>
      <w:r>
        <w:rPr>
          <w:color w:val="231F20"/>
          <w:spacing w:val="-3"/>
          <w:sz w:val="24"/>
        </w:rPr>
        <w:t>of </w:t>
      </w:r>
      <w:r>
        <w:rPr>
          <w:color w:val="231F20"/>
          <w:sz w:val="24"/>
        </w:rPr>
        <w:t>Commons. On July 20, 2020 legislation was introduced that further extended the non-taxable payment to those eligible </w:t>
      </w:r>
      <w:r>
        <w:rPr>
          <w:color w:val="231F20"/>
          <w:spacing w:val="-3"/>
          <w:sz w:val="24"/>
        </w:rPr>
        <w:t>for </w:t>
      </w:r>
      <w:r>
        <w:rPr>
          <w:color w:val="231F20"/>
          <w:sz w:val="24"/>
        </w:rPr>
        <w:t>both Canada </w:t>
      </w:r>
      <w:r>
        <w:rPr>
          <w:color w:val="231F20"/>
          <w:spacing w:val="-3"/>
          <w:sz w:val="24"/>
        </w:rPr>
        <w:t>Pension </w:t>
      </w:r>
      <w:r>
        <w:rPr>
          <w:color w:val="231F20"/>
          <w:sz w:val="24"/>
        </w:rPr>
        <w:t>Plan and Quebec </w:t>
      </w:r>
      <w:r>
        <w:rPr>
          <w:color w:val="231F20"/>
          <w:spacing w:val="-3"/>
          <w:sz w:val="24"/>
        </w:rPr>
        <w:t>Pension </w:t>
      </w:r>
      <w:r>
        <w:rPr>
          <w:color w:val="231F20"/>
          <w:sz w:val="24"/>
        </w:rPr>
        <w:t>Plan Disability benefits as well as those receiving disability supports through </w:t>
      </w:r>
      <w:r>
        <w:rPr>
          <w:color w:val="231F20"/>
          <w:spacing w:val="-3"/>
          <w:sz w:val="24"/>
        </w:rPr>
        <w:t>Veterans </w:t>
      </w:r>
      <w:r>
        <w:rPr>
          <w:color w:val="231F20"/>
          <w:sz w:val="24"/>
        </w:rPr>
        <w:t>Affairs Canada. The bill received </w:t>
      </w:r>
      <w:r>
        <w:rPr>
          <w:color w:val="231F20"/>
          <w:spacing w:val="-3"/>
          <w:sz w:val="24"/>
        </w:rPr>
        <w:t>royal </w:t>
      </w:r>
      <w:r>
        <w:rPr>
          <w:color w:val="231F20"/>
          <w:sz w:val="24"/>
        </w:rPr>
        <w:t>assent on July </w:t>
      </w:r>
      <w:r>
        <w:rPr>
          <w:color w:val="231F20"/>
          <w:spacing w:val="-11"/>
          <w:sz w:val="24"/>
        </w:rPr>
        <w:t>27, </w:t>
      </w:r>
      <w:r>
        <w:rPr>
          <w:color w:val="231F20"/>
          <w:sz w:val="24"/>
        </w:rPr>
        <w:t>2020. </w:t>
      </w:r>
      <w:r>
        <w:rPr>
          <w:color w:val="231F20"/>
          <w:spacing w:val="-3"/>
          <w:sz w:val="24"/>
        </w:rPr>
        <w:t>Payments </w:t>
      </w:r>
      <w:r>
        <w:rPr>
          <w:color w:val="231F20"/>
          <w:sz w:val="24"/>
        </w:rPr>
        <w:t>will be made automatically in the</w:t>
      </w:r>
      <w:r>
        <w:rPr>
          <w:color w:val="231F20"/>
          <w:spacing w:val="-2"/>
          <w:sz w:val="24"/>
        </w:rPr>
        <w:t> </w:t>
      </w:r>
      <w:r>
        <w:rPr>
          <w:color w:val="231F20"/>
          <w:sz w:val="24"/>
        </w:rPr>
        <w:t>fall.</w:t>
      </w:r>
    </w:p>
    <w:p>
      <w:pPr>
        <w:pStyle w:val="BodyText"/>
        <w:spacing w:before="3"/>
        <w:rPr>
          <w:sz w:val="33"/>
        </w:rPr>
      </w:pPr>
    </w:p>
    <w:p>
      <w:pPr>
        <w:pStyle w:val="BodyText"/>
        <w:ind w:left="460"/>
        <w:rPr>
          <w:rFonts w:ascii="Minion Pro"/>
          <w:sz w:val="13"/>
        </w:rPr>
      </w:pPr>
      <w:r>
        <w:rPr>
          <w:rFonts w:ascii="Frutiger LT Std"/>
          <w:color w:val="231F20"/>
        </w:rPr>
        <w:t>Notes of caution for readers</w:t>
      </w:r>
      <w:r>
        <w:rPr>
          <w:rFonts w:ascii="Minion Pro"/>
          <w:color w:val="231F20"/>
          <w:position w:val="7"/>
          <w:sz w:val="13"/>
        </w:rPr>
        <w:t>1</w:t>
      </w:r>
    </w:p>
    <w:p>
      <w:pPr>
        <w:pStyle w:val="ListParagraph"/>
        <w:numPr>
          <w:ilvl w:val="0"/>
          <w:numId w:val="1"/>
        </w:numPr>
        <w:tabs>
          <w:tab w:pos="1179" w:val="left" w:leader="none"/>
          <w:tab w:pos="1180" w:val="left" w:leader="none"/>
        </w:tabs>
        <w:spacing w:line="300" w:lineRule="auto" w:before="169" w:after="0"/>
        <w:ind w:left="1180" w:right="1711" w:hanging="360"/>
        <w:jc w:val="left"/>
        <w:rPr>
          <w:sz w:val="24"/>
        </w:rPr>
      </w:pPr>
      <w:r>
        <w:rPr>
          <w:color w:val="231F20"/>
          <w:sz w:val="24"/>
        </w:rPr>
        <w:t>A number </w:t>
      </w:r>
      <w:r>
        <w:rPr>
          <w:color w:val="231F20"/>
          <w:spacing w:val="-3"/>
          <w:sz w:val="24"/>
        </w:rPr>
        <w:t>of </w:t>
      </w:r>
      <w:r>
        <w:rPr>
          <w:color w:val="231F20"/>
          <w:sz w:val="24"/>
        </w:rPr>
        <w:t>provinces implemented programs in March 2020 to </w:t>
      </w:r>
      <w:r>
        <w:rPr>
          <w:color w:val="231F20"/>
          <w:spacing w:val="-3"/>
          <w:sz w:val="24"/>
        </w:rPr>
        <w:t>provide </w:t>
      </w:r>
      <w:r>
        <w:rPr>
          <w:color w:val="231F20"/>
          <w:sz w:val="24"/>
        </w:rPr>
        <w:t>financial support to their residents before federal measures </w:t>
      </w:r>
      <w:r>
        <w:rPr>
          <w:color w:val="231F20"/>
          <w:spacing w:val="-3"/>
          <w:sz w:val="24"/>
        </w:rPr>
        <w:t>were </w:t>
      </w:r>
      <w:r>
        <w:rPr>
          <w:color w:val="231F20"/>
          <w:sz w:val="24"/>
        </w:rPr>
        <w:t>implemented. Some </w:t>
      </w:r>
      <w:r>
        <w:rPr>
          <w:color w:val="231F20"/>
          <w:spacing w:val="-3"/>
          <w:sz w:val="24"/>
        </w:rPr>
        <w:t>of </w:t>
      </w:r>
      <w:r>
        <w:rPr>
          <w:color w:val="231F20"/>
          <w:sz w:val="24"/>
        </w:rPr>
        <w:t>these are still operational. Some jurisdictions implemented </w:t>
      </w:r>
      <w:r>
        <w:rPr>
          <w:color w:val="231F20"/>
          <w:spacing w:val="-3"/>
          <w:sz w:val="24"/>
        </w:rPr>
        <w:t>robust </w:t>
      </w:r>
      <w:r>
        <w:rPr>
          <w:color w:val="231F20"/>
          <w:sz w:val="24"/>
        </w:rPr>
        <w:t>COVID-19 measures </w:t>
      </w:r>
      <w:r>
        <w:rPr>
          <w:color w:val="231F20"/>
          <w:spacing w:val="-3"/>
          <w:sz w:val="24"/>
        </w:rPr>
        <w:t>for </w:t>
      </w:r>
      <w:r>
        <w:rPr>
          <w:color w:val="231F20"/>
          <w:spacing w:val="-4"/>
          <w:sz w:val="24"/>
        </w:rPr>
        <w:t>low- </w:t>
      </w:r>
      <w:r>
        <w:rPr>
          <w:color w:val="231F20"/>
          <w:sz w:val="24"/>
        </w:rPr>
        <w:t>income people including social assistance </w:t>
      </w:r>
      <w:r>
        <w:rPr>
          <w:color w:val="231F20"/>
          <w:spacing w:val="-3"/>
          <w:sz w:val="24"/>
        </w:rPr>
        <w:t>recipients </w:t>
      </w:r>
      <w:r>
        <w:rPr>
          <w:color w:val="231F20"/>
          <w:sz w:val="24"/>
        </w:rPr>
        <w:t>(Northwest </w:t>
      </w:r>
      <w:r>
        <w:rPr>
          <w:color w:val="231F20"/>
          <w:spacing w:val="-4"/>
          <w:sz w:val="24"/>
        </w:rPr>
        <w:t>Territories) </w:t>
      </w:r>
      <w:r>
        <w:rPr>
          <w:color w:val="231F20"/>
          <w:sz w:val="24"/>
        </w:rPr>
        <w:t>while others did not. </w:t>
      </w:r>
      <w:r>
        <w:rPr>
          <w:color w:val="231F20"/>
          <w:spacing w:val="3"/>
          <w:sz w:val="24"/>
        </w:rPr>
        <w:t>CERB </w:t>
      </w:r>
      <w:r>
        <w:rPr>
          <w:color w:val="231F20"/>
          <w:spacing w:val="-3"/>
          <w:sz w:val="24"/>
        </w:rPr>
        <w:t>clawback </w:t>
      </w:r>
      <w:r>
        <w:rPr>
          <w:color w:val="231F20"/>
          <w:sz w:val="24"/>
        </w:rPr>
        <w:t>or </w:t>
      </w:r>
      <w:r>
        <w:rPr>
          <w:color w:val="231F20"/>
          <w:spacing w:val="-3"/>
          <w:sz w:val="24"/>
        </w:rPr>
        <w:t>exemption </w:t>
      </w:r>
      <w:r>
        <w:rPr>
          <w:color w:val="231F20"/>
          <w:sz w:val="24"/>
        </w:rPr>
        <w:t>does </w:t>
      </w:r>
      <w:r>
        <w:rPr>
          <w:color w:val="231F20"/>
          <w:spacing w:val="-3"/>
          <w:sz w:val="24"/>
        </w:rPr>
        <w:t>not </w:t>
      </w:r>
      <w:r>
        <w:rPr>
          <w:color w:val="231F20"/>
          <w:sz w:val="24"/>
        </w:rPr>
        <w:t>necessarily reflect all </w:t>
      </w:r>
      <w:r>
        <w:rPr>
          <w:color w:val="231F20"/>
          <w:spacing w:val="-3"/>
          <w:sz w:val="24"/>
        </w:rPr>
        <w:t>of </w:t>
      </w:r>
      <w:r>
        <w:rPr>
          <w:color w:val="231F20"/>
          <w:sz w:val="24"/>
        </w:rPr>
        <w:t>what provincial/territorial governments </w:t>
      </w:r>
      <w:r>
        <w:rPr>
          <w:color w:val="231F20"/>
          <w:spacing w:val="-3"/>
          <w:sz w:val="24"/>
        </w:rPr>
        <w:t>have done </w:t>
      </w:r>
      <w:r>
        <w:rPr>
          <w:color w:val="231F20"/>
          <w:sz w:val="24"/>
        </w:rPr>
        <w:t>or </w:t>
      </w:r>
      <w:r>
        <w:rPr>
          <w:color w:val="231F20"/>
          <w:spacing w:val="-3"/>
          <w:sz w:val="24"/>
        </w:rPr>
        <w:t>not done. </w:t>
      </w:r>
      <w:r>
        <w:rPr>
          <w:color w:val="231F20"/>
          <w:sz w:val="24"/>
        </w:rPr>
        <w:t>Close examination is</w:t>
      </w:r>
      <w:r>
        <w:rPr>
          <w:color w:val="231F20"/>
          <w:spacing w:val="7"/>
          <w:sz w:val="24"/>
        </w:rPr>
        <w:t> </w:t>
      </w:r>
      <w:r>
        <w:rPr>
          <w:color w:val="231F20"/>
          <w:sz w:val="24"/>
        </w:rPr>
        <w:t>required.</w:t>
      </w:r>
    </w:p>
    <w:p>
      <w:pPr>
        <w:pStyle w:val="ListParagraph"/>
        <w:numPr>
          <w:ilvl w:val="0"/>
          <w:numId w:val="1"/>
        </w:numPr>
        <w:tabs>
          <w:tab w:pos="1179" w:val="left" w:leader="none"/>
          <w:tab w:pos="1180" w:val="left" w:leader="none"/>
        </w:tabs>
        <w:spacing w:line="300" w:lineRule="auto" w:before="180" w:after="0"/>
        <w:ind w:left="1180" w:right="1777" w:hanging="360"/>
        <w:jc w:val="left"/>
        <w:rPr>
          <w:sz w:val="24"/>
        </w:rPr>
      </w:pPr>
      <w:r>
        <w:rPr>
          <w:color w:val="231F20"/>
          <w:sz w:val="24"/>
        </w:rPr>
        <w:t>Prince Edward Island, Ontario, </w:t>
      </w:r>
      <w:r>
        <w:rPr>
          <w:color w:val="231F20"/>
          <w:spacing w:val="-4"/>
          <w:sz w:val="24"/>
        </w:rPr>
        <w:t>Nova </w:t>
      </w:r>
      <w:r>
        <w:rPr>
          <w:color w:val="231F20"/>
          <w:sz w:val="24"/>
        </w:rPr>
        <w:t>Scotia, and Nunavut </w:t>
      </w:r>
      <w:r>
        <w:rPr>
          <w:color w:val="231F20"/>
          <w:spacing w:val="-3"/>
          <w:sz w:val="24"/>
        </w:rPr>
        <w:t>have </w:t>
      </w:r>
      <w:r>
        <w:rPr>
          <w:color w:val="231F20"/>
          <w:sz w:val="24"/>
        </w:rPr>
        <w:t>pledged to reinvest the </w:t>
      </w:r>
      <w:r>
        <w:rPr>
          <w:color w:val="231F20"/>
          <w:spacing w:val="3"/>
          <w:sz w:val="24"/>
        </w:rPr>
        <w:t>CERB </w:t>
      </w:r>
      <w:r>
        <w:rPr>
          <w:color w:val="231F20"/>
          <w:spacing w:val="-3"/>
          <w:sz w:val="24"/>
        </w:rPr>
        <w:t>clawbacks </w:t>
      </w:r>
      <w:r>
        <w:rPr>
          <w:color w:val="231F20"/>
          <w:sz w:val="24"/>
        </w:rPr>
        <w:t>back into social</w:t>
      </w:r>
      <w:r>
        <w:rPr>
          <w:color w:val="231F20"/>
          <w:spacing w:val="-45"/>
          <w:sz w:val="24"/>
        </w:rPr>
        <w:t> </w:t>
      </w:r>
      <w:r>
        <w:rPr>
          <w:color w:val="231F20"/>
          <w:sz w:val="24"/>
        </w:rPr>
        <w:t>assistance.</w:t>
      </w:r>
    </w:p>
    <w:p>
      <w:pPr>
        <w:pStyle w:val="ListParagraph"/>
        <w:numPr>
          <w:ilvl w:val="0"/>
          <w:numId w:val="1"/>
        </w:numPr>
        <w:tabs>
          <w:tab w:pos="1179" w:val="left" w:leader="none"/>
          <w:tab w:pos="1180" w:val="left" w:leader="none"/>
        </w:tabs>
        <w:spacing w:line="300" w:lineRule="auto" w:before="180" w:after="0"/>
        <w:ind w:left="1180" w:right="1779" w:hanging="360"/>
        <w:jc w:val="left"/>
        <w:rPr>
          <w:sz w:val="24"/>
        </w:rPr>
      </w:pPr>
      <w:r>
        <w:rPr>
          <w:color w:val="231F20"/>
          <w:sz w:val="24"/>
        </w:rPr>
        <w:t>One jurisdiction </w:t>
      </w:r>
      <w:r>
        <w:rPr>
          <w:color w:val="231F20"/>
          <w:spacing w:val="-3"/>
          <w:sz w:val="24"/>
        </w:rPr>
        <w:t>(Ontario) </w:t>
      </w:r>
      <w:r>
        <w:rPr>
          <w:color w:val="231F20"/>
          <w:sz w:val="24"/>
        </w:rPr>
        <w:t>has pledged </w:t>
      </w:r>
      <w:r>
        <w:rPr>
          <w:color w:val="231F20"/>
          <w:spacing w:val="-3"/>
          <w:sz w:val="24"/>
        </w:rPr>
        <w:t>not </w:t>
      </w:r>
      <w:r>
        <w:rPr>
          <w:color w:val="231F20"/>
          <w:sz w:val="24"/>
        </w:rPr>
        <w:t>to </w:t>
      </w:r>
      <w:r>
        <w:rPr>
          <w:color w:val="231F20"/>
          <w:spacing w:val="-4"/>
          <w:sz w:val="24"/>
        </w:rPr>
        <w:t>remove </w:t>
      </w:r>
      <w:r>
        <w:rPr>
          <w:color w:val="231F20"/>
          <w:spacing w:val="-3"/>
          <w:sz w:val="24"/>
        </w:rPr>
        <w:t>anyone </w:t>
      </w:r>
      <w:r>
        <w:rPr>
          <w:color w:val="231F20"/>
          <w:sz w:val="24"/>
        </w:rPr>
        <w:t>from assistance even if financially ineligible. Where jurisdictions </w:t>
      </w:r>
      <w:r>
        <w:rPr>
          <w:color w:val="231F20"/>
          <w:spacing w:val="-3"/>
          <w:sz w:val="24"/>
        </w:rPr>
        <w:t>have </w:t>
      </w:r>
      <w:r>
        <w:rPr>
          <w:color w:val="231F20"/>
          <w:sz w:val="24"/>
        </w:rPr>
        <w:t>fully </w:t>
      </w:r>
      <w:r>
        <w:rPr>
          <w:color w:val="231F20"/>
          <w:spacing w:val="-3"/>
          <w:sz w:val="24"/>
        </w:rPr>
        <w:t>exempted </w:t>
      </w:r>
      <w:r>
        <w:rPr>
          <w:color w:val="231F20"/>
          <w:spacing w:val="3"/>
          <w:sz w:val="24"/>
        </w:rPr>
        <w:t>CERB </w:t>
      </w:r>
      <w:r>
        <w:rPr>
          <w:color w:val="231F20"/>
          <w:sz w:val="24"/>
        </w:rPr>
        <w:t>(British Columbia, </w:t>
      </w:r>
      <w:r>
        <w:rPr>
          <w:color w:val="231F20"/>
          <w:spacing w:val="-6"/>
          <w:sz w:val="24"/>
        </w:rPr>
        <w:t>Yukon </w:t>
      </w:r>
      <w:r>
        <w:rPr>
          <w:color w:val="231F20"/>
          <w:sz w:val="24"/>
        </w:rPr>
        <w:t>and the Northwest </w:t>
      </w:r>
      <w:r>
        <w:rPr>
          <w:color w:val="231F20"/>
          <w:spacing w:val="-4"/>
          <w:sz w:val="24"/>
        </w:rPr>
        <w:t>Territories), </w:t>
      </w:r>
      <w:r>
        <w:rPr>
          <w:color w:val="231F20"/>
          <w:sz w:val="24"/>
        </w:rPr>
        <w:t>SA </w:t>
      </w:r>
      <w:r>
        <w:rPr>
          <w:color w:val="231F20"/>
          <w:spacing w:val="-3"/>
          <w:sz w:val="24"/>
        </w:rPr>
        <w:t>recipients </w:t>
      </w:r>
      <w:r>
        <w:rPr>
          <w:color w:val="231F20"/>
          <w:sz w:val="24"/>
        </w:rPr>
        <w:t>will </w:t>
      </w:r>
      <w:r>
        <w:rPr>
          <w:color w:val="231F20"/>
          <w:spacing w:val="-3"/>
          <w:sz w:val="24"/>
        </w:rPr>
        <w:t>not </w:t>
      </w:r>
      <w:r>
        <w:rPr>
          <w:color w:val="231F20"/>
          <w:sz w:val="24"/>
        </w:rPr>
        <w:t>lose their</w:t>
      </w:r>
      <w:r>
        <w:rPr>
          <w:color w:val="231F20"/>
          <w:spacing w:val="14"/>
          <w:sz w:val="24"/>
        </w:rPr>
        <w:t> </w:t>
      </w:r>
      <w:r>
        <w:rPr>
          <w:color w:val="231F20"/>
          <w:spacing w:val="-3"/>
          <w:sz w:val="24"/>
        </w:rPr>
        <w:t>eligibility.</w:t>
      </w:r>
    </w:p>
    <w:p>
      <w:pPr>
        <w:pStyle w:val="ListParagraph"/>
        <w:numPr>
          <w:ilvl w:val="0"/>
          <w:numId w:val="1"/>
        </w:numPr>
        <w:tabs>
          <w:tab w:pos="1179" w:val="left" w:leader="none"/>
          <w:tab w:pos="1180" w:val="left" w:leader="none"/>
        </w:tabs>
        <w:spacing w:line="300" w:lineRule="auto" w:before="180" w:after="0"/>
        <w:ind w:left="1180" w:right="1691" w:hanging="360"/>
        <w:jc w:val="left"/>
        <w:rPr>
          <w:sz w:val="24"/>
        </w:rPr>
      </w:pPr>
      <w:r>
        <w:rPr>
          <w:color w:val="231F20"/>
          <w:sz w:val="24"/>
        </w:rPr>
        <w:t>Most jurisdictions </w:t>
      </w:r>
      <w:r>
        <w:rPr>
          <w:color w:val="231F20"/>
          <w:spacing w:val="-3"/>
          <w:sz w:val="24"/>
        </w:rPr>
        <w:t>have </w:t>
      </w:r>
      <w:r>
        <w:rPr>
          <w:color w:val="231F20"/>
          <w:sz w:val="24"/>
        </w:rPr>
        <w:t>pledged to keep health benefits flowing to social assistance clients </w:t>
      </w:r>
      <w:r>
        <w:rPr>
          <w:color w:val="231F20"/>
          <w:spacing w:val="-3"/>
          <w:sz w:val="24"/>
        </w:rPr>
        <w:t>who </w:t>
      </w:r>
      <w:r>
        <w:rPr>
          <w:color w:val="231F20"/>
          <w:sz w:val="24"/>
        </w:rPr>
        <w:t>lose financial support </w:t>
      </w:r>
      <w:r>
        <w:rPr>
          <w:color w:val="231F20"/>
          <w:spacing w:val="-3"/>
          <w:sz w:val="24"/>
        </w:rPr>
        <w:t>due </w:t>
      </w:r>
      <w:r>
        <w:rPr>
          <w:color w:val="231F20"/>
          <w:sz w:val="24"/>
        </w:rPr>
        <w:t>to the</w:t>
      </w:r>
      <w:r>
        <w:rPr>
          <w:color w:val="231F20"/>
          <w:spacing w:val="-29"/>
          <w:sz w:val="24"/>
        </w:rPr>
        <w:t> </w:t>
      </w:r>
      <w:r>
        <w:rPr>
          <w:color w:val="231F20"/>
          <w:spacing w:val="3"/>
          <w:sz w:val="24"/>
        </w:rPr>
        <w:t>CERB.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r>
        <w:rPr/>
        <w:pict>
          <v:shape style="position:absolute;margin-left:72pt;margin-top:17.559891pt;width:72pt;height:.1pt;mso-position-horizontal-relative:page;mso-position-vertical-relative:paragraph;z-index:-15727104;mso-wrap-distance-left:0;mso-wrap-distance-right:0" coordorigin="1440,351" coordsize="1440,0" path="m1440,351l2880,351e" filled="false" stroked="true" strokeweight=".75pt" strokecolor="#231f20">
            <v:path arrowok="t"/>
            <v:stroke dashstyle="solid"/>
            <w10:wrap type="topAndBottom"/>
          </v:shape>
        </w:pict>
      </w:r>
    </w:p>
    <w:p>
      <w:pPr>
        <w:pStyle w:val="ListParagraph"/>
        <w:numPr>
          <w:ilvl w:val="0"/>
          <w:numId w:val="2"/>
        </w:numPr>
        <w:tabs>
          <w:tab w:pos="819" w:val="left" w:leader="none"/>
          <w:tab w:pos="820" w:val="left" w:leader="none"/>
        </w:tabs>
        <w:spacing w:line="240" w:lineRule="auto" w:before="140" w:after="0"/>
        <w:ind w:left="820" w:right="1938" w:hanging="360"/>
        <w:jc w:val="left"/>
        <w:rPr>
          <w:sz w:val="14"/>
        </w:rPr>
      </w:pPr>
      <w:r>
        <w:rPr>
          <w:color w:val="231F20"/>
          <w:sz w:val="14"/>
        </w:rPr>
        <w:t>Program footnotes are explanatory and readers are urged to read them to gain a more complete understanding of </w:t>
      </w:r>
      <w:r>
        <w:rPr>
          <w:color w:val="231F20"/>
          <w:spacing w:val="-5"/>
          <w:sz w:val="14"/>
        </w:rPr>
        <w:t>what </w:t>
      </w:r>
      <w:r>
        <w:rPr>
          <w:color w:val="231F20"/>
          <w:sz w:val="14"/>
        </w:rPr>
        <w:t>provincial/territorial governments have done and not done.</w:t>
      </w:r>
    </w:p>
    <w:p>
      <w:pPr>
        <w:spacing w:after="0" w:line="240" w:lineRule="auto"/>
        <w:jc w:val="left"/>
        <w:rPr>
          <w:sz w:val="14"/>
        </w:rPr>
        <w:sectPr>
          <w:pgSz w:w="12240" w:h="15840"/>
          <w:pgMar w:header="0" w:footer="723" w:top="1400" w:bottom="920" w:left="980" w:right="1320"/>
        </w:sectPr>
      </w:pPr>
    </w:p>
    <w:tbl>
      <w:tblPr>
        <w:tblW w:w="0" w:type="auto"/>
        <w:jc w:val="left"/>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20"/>
        <w:gridCol w:w="2677"/>
        <w:gridCol w:w="2677"/>
        <w:gridCol w:w="2677"/>
      </w:tblGrid>
      <w:tr>
        <w:trPr>
          <w:trHeight w:val="800" w:hRule="atLeast"/>
        </w:trPr>
        <w:tc>
          <w:tcPr>
            <w:tcW w:w="9351" w:type="dxa"/>
            <w:gridSpan w:val="4"/>
            <w:shd w:val="clear" w:color="auto" w:fill="6379A9"/>
          </w:tcPr>
          <w:p>
            <w:pPr>
              <w:pStyle w:val="TableParagraph"/>
              <w:spacing w:line="259" w:lineRule="auto" w:before="98"/>
              <w:ind w:left="2871" w:hanging="2391"/>
              <w:rPr>
                <w:rFonts w:ascii="FrutigerLTStd-Bold"/>
                <w:b/>
                <w:sz w:val="20"/>
              </w:rPr>
            </w:pPr>
            <w:r>
              <w:rPr>
                <w:rFonts w:ascii="FrutigerLTStd-Bold"/>
                <w:b/>
                <w:color w:val="FFFFFF"/>
                <w:sz w:val="20"/>
              </w:rPr>
              <w:t>CERB interactions with provincial and territorial social assistance and subsidized housing programs and youth aging out of care</w:t>
            </w:r>
          </w:p>
        </w:tc>
      </w:tr>
      <w:tr>
        <w:trPr>
          <w:trHeight w:val="570" w:hRule="atLeast"/>
        </w:trPr>
        <w:tc>
          <w:tcPr>
            <w:tcW w:w="1320" w:type="dxa"/>
            <w:shd w:val="clear" w:color="auto" w:fill="CBD0E2"/>
          </w:tcPr>
          <w:p>
            <w:pPr>
              <w:pStyle w:val="TableParagraph"/>
              <w:ind w:left="0"/>
              <w:rPr>
                <w:rFonts w:ascii="Times New Roman"/>
                <w:sz w:val="16"/>
              </w:rPr>
            </w:pPr>
          </w:p>
        </w:tc>
        <w:tc>
          <w:tcPr>
            <w:tcW w:w="2677" w:type="dxa"/>
            <w:shd w:val="clear" w:color="auto" w:fill="CBD0E2"/>
          </w:tcPr>
          <w:p>
            <w:pPr>
              <w:pStyle w:val="TableParagraph"/>
              <w:spacing w:line="232" w:lineRule="auto" w:before="5"/>
              <w:ind w:right="968"/>
              <w:rPr>
                <w:rFonts w:ascii="Minion Pro"/>
                <w:sz w:val="11"/>
              </w:rPr>
            </w:pPr>
            <w:r>
              <w:rPr>
                <w:color w:val="231F20"/>
                <w:sz w:val="20"/>
              </w:rPr>
              <w:t>Newfoundland &amp; Labrador</w:t>
            </w:r>
            <w:r>
              <w:rPr>
                <w:rFonts w:ascii="Minion Pro"/>
                <w:color w:val="231F20"/>
                <w:position w:val="7"/>
                <w:sz w:val="11"/>
              </w:rPr>
              <w:t>2 3 4</w:t>
            </w:r>
          </w:p>
        </w:tc>
        <w:tc>
          <w:tcPr>
            <w:tcW w:w="2677" w:type="dxa"/>
            <w:shd w:val="clear" w:color="auto" w:fill="CBD0E2"/>
          </w:tcPr>
          <w:p>
            <w:pPr>
              <w:pStyle w:val="TableParagraph"/>
              <w:spacing w:line="275" w:lineRule="exact"/>
              <w:rPr>
                <w:rFonts w:ascii="Minion Pro"/>
                <w:sz w:val="11"/>
              </w:rPr>
            </w:pPr>
            <w:r>
              <w:rPr>
                <w:color w:val="231F20"/>
                <w:sz w:val="20"/>
              </w:rPr>
              <w:t>PEI</w:t>
            </w:r>
            <w:r>
              <w:rPr>
                <w:rFonts w:ascii="Minion Pro"/>
                <w:color w:val="231F20"/>
                <w:position w:val="7"/>
                <w:sz w:val="11"/>
              </w:rPr>
              <w:t>5</w:t>
            </w:r>
          </w:p>
        </w:tc>
        <w:tc>
          <w:tcPr>
            <w:tcW w:w="2677" w:type="dxa"/>
            <w:shd w:val="clear" w:color="auto" w:fill="CBD0E2"/>
          </w:tcPr>
          <w:p>
            <w:pPr>
              <w:pStyle w:val="TableParagraph"/>
              <w:spacing w:before="1"/>
              <w:rPr>
                <w:rFonts w:ascii="Minion Pro"/>
                <w:sz w:val="11"/>
              </w:rPr>
            </w:pPr>
            <w:r>
              <w:rPr>
                <w:color w:val="231F20"/>
                <w:w w:val="105"/>
                <w:position w:val="-6"/>
                <w:sz w:val="20"/>
              </w:rPr>
              <w:t>NS</w:t>
            </w:r>
            <w:r>
              <w:rPr>
                <w:rFonts w:ascii="Minion Pro"/>
                <w:color w:val="231F20"/>
                <w:w w:val="105"/>
                <w:sz w:val="11"/>
              </w:rPr>
              <w:t>6 7 8</w:t>
            </w:r>
          </w:p>
        </w:tc>
      </w:tr>
      <w:tr>
        <w:trPr>
          <w:trHeight w:val="1953" w:hRule="atLeast"/>
        </w:trPr>
        <w:tc>
          <w:tcPr>
            <w:tcW w:w="1320" w:type="dxa"/>
            <w:shd w:val="clear" w:color="auto" w:fill="F1F2F2"/>
          </w:tcPr>
          <w:p>
            <w:pPr>
              <w:pStyle w:val="TableParagraph"/>
              <w:spacing w:line="249" w:lineRule="auto" w:before="5"/>
              <w:ind w:left="80" w:right="99"/>
              <w:rPr>
                <w:sz w:val="18"/>
              </w:rPr>
            </w:pPr>
            <w:r>
              <w:rPr>
                <w:color w:val="231F20"/>
                <w:sz w:val="18"/>
              </w:rPr>
              <w:t>Treatment of CERB for SA calculation</w:t>
            </w:r>
          </w:p>
        </w:tc>
        <w:tc>
          <w:tcPr>
            <w:tcW w:w="2677" w:type="dxa"/>
          </w:tcPr>
          <w:p>
            <w:pPr>
              <w:pStyle w:val="TableParagraph"/>
              <w:spacing w:line="259" w:lineRule="auto" w:before="17"/>
              <w:ind w:right="112"/>
              <w:rPr>
                <w:sz w:val="16"/>
              </w:rPr>
            </w:pPr>
            <w:r>
              <w:rPr>
                <w:color w:val="231F20"/>
                <w:w w:val="105"/>
                <w:sz w:val="16"/>
              </w:rPr>
              <w:t>Full clawback. Individuals cannot receive Income Support and the CERB at the same time. Clients getting the CERB are immediately suspended. If there is overlap between IS and the CERB, an overpayment will be recorded.</w:t>
            </w:r>
          </w:p>
        </w:tc>
        <w:tc>
          <w:tcPr>
            <w:tcW w:w="2677" w:type="dxa"/>
          </w:tcPr>
          <w:p>
            <w:pPr>
              <w:pStyle w:val="TableParagraph"/>
              <w:spacing w:before="17"/>
              <w:rPr>
                <w:sz w:val="16"/>
              </w:rPr>
            </w:pPr>
            <w:r>
              <w:rPr>
                <w:color w:val="231F20"/>
                <w:w w:val="105"/>
                <w:sz w:val="16"/>
              </w:rPr>
              <w:t>Full clawback, treated like EI.</w:t>
            </w:r>
          </w:p>
        </w:tc>
        <w:tc>
          <w:tcPr>
            <w:tcW w:w="2677" w:type="dxa"/>
          </w:tcPr>
          <w:p>
            <w:pPr>
              <w:pStyle w:val="TableParagraph"/>
              <w:spacing w:before="17"/>
              <w:rPr>
                <w:sz w:val="16"/>
              </w:rPr>
            </w:pPr>
            <w:r>
              <w:rPr>
                <w:color w:val="231F20"/>
                <w:w w:val="105"/>
                <w:sz w:val="16"/>
              </w:rPr>
              <w:t>Full clawback, treated like EI.</w:t>
            </w:r>
          </w:p>
        </w:tc>
      </w:tr>
      <w:tr>
        <w:trPr>
          <w:trHeight w:val="1065" w:hRule="atLeast"/>
        </w:trPr>
        <w:tc>
          <w:tcPr>
            <w:tcW w:w="1320" w:type="dxa"/>
            <w:shd w:val="clear" w:color="auto" w:fill="F1F2F2"/>
          </w:tcPr>
          <w:p>
            <w:pPr>
              <w:pStyle w:val="TableParagraph"/>
              <w:spacing w:line="249" w:lineRule="auto" w:before="5"/>
              <w:ind w:left="80" w:right="129"/>
              <w:rPr>
                <w:sz w:val="18"/>
              </w:rPr>
            </w:pPr>
            <w:r>
              <w:rPr>
                <w:color w:val="231F20"/>
                <w:sz w:val="18"/>
              </w:rPr>
              <w:t>Will people lose eligibility for SA?</w:t>
            </w:r>
          </w:p>
        </w:tc>
        <w:tc>
          <w:tcPr>
            <w:tcW w:w="2677" w:type="dxa"/>
          </w:tcPr>
          <w:p>
            <w:pPr>
              <w:pStyle w:val="TableParagraph"/>
              <w:spacing w:before="17"/>
              <w:rPr>
                <w:sz w:val="16"/>
              </w:rPr>
            </w:pPr>
            <w:r>
              <w:rPr>
                <w:color w:val="231F20"/>
                <w:w w:val="105"/>
                <w:sz w:val="16"/>
              </w:rPr>
              <w:t>yes</w:t>
            </w:r>
          </w:p>
        </w:tc>
        <w:tc>
          <w:tcPr>
            <w:tcW w:w="2677" w:type="dxa"/>
          </w:tcPr>
          <w:p>
            <w:pPr>
              <w:pStyle w:val="TableParagraph"/>
              <w:spacing w:before="17"/>
              <w:rPr>
                <w:sz w:val="16"/>
              </w:rPr>
            </w:pPr>
            <w:r>
              <w:rPr>
                <w:color w:val="231F20"/>
                <w:w w:val="105"/>
                <w:sz w:val="16"/>
              </w:rPr>
              <w:t>No, client’s file remains active.</w:t>
            </w:r>
          </w:p>
        </w:tc>
        <w:tc>
          <w:tcPr>
            <w:tcW w:w="2677" w:type="dxa"/>
          </w:tcPr>
          <w:p>
            <w:pPr>
              <w:pStyle w:val="TableParagraph"/>
              <w:spacing w:before="17"/>
              <w:rPr>
                <w:sz w:val="16"/>
              </w:rPr>
            </w:pPr>
            <w:r>
              <w:rPr>
                <w:color w:val="231F20"/>
                <w:w w:val="105"/>
                <w:sz w:val="16"/>
              </w:rPr>
              <w:t>yes</w:t>
            </w:r>
          </w:p>
        </w:tc>
      </w:tr>
      <w:tr>
        <w:trPr>
          <w:trHeight w:val="1953" w:hRule="atLeast"/>
        </w:trPr>
        <w:tc>
          <w:tcPr>
            <w:tcW w:w="1320" w:type="dxa"/>
            <w:shd w:val="clear" w:color="auto" w:fill="F1F2F2"/>
          </w:tcPr>
          <w:p>
            <w:pPr>
              <w:pStyle w:val="TableParagraph"/>
              <w:spacing w:line="249" w:lineRule="auto" w:before="5"/>
              <w:ind w:left="80" w:right="79"/>
              <w:rPr>
                <w:sz w:val="18"/>
              </w:rPr>
            </w:pPr>
            <w:r>
              <w:rPr>
                <w:color w:val="231F20"/>
                <w:sz w:val="18"/>
              </w:rPr>
              <w:t>Are SA savings being reinvested?</w:t>
            </w:r>
          </w:p>
        </w:tc>
        <w:tc>
          <w:tcPr>
            <w:tcW w:w="2677" w:type="dxa"/>
          </w:tcPr>
          <w:p>
            <w:pPr>
              <w:pStyle w:val="TableParagraph"/>
              <w:spacing w:before="17"/>
              <w:rPr>
                <w:sz w:val="16"/>
              </w:rPr>
            </w:pPr>
            <w:r>
              <w:rPr>
                <w:color w:val="231F20"/>
                <w:w w:val="105"/>
                <w:sz w:val="16"/>
              </w:rPr>
              <w:t>Currently unknown</w:t>
            </w:r>
          </w:p>
        </w:tc>
        <w:tc>
          <w:tcPr>
            <w:tcW w:w="2677" w:type="dxa"/>
          </w:tcPr>
          <w:p>
            <w:pPr>
              <w:pStyle w:val="TableParagraph"/>
              <w:spacing w:line="259" w:lineRule="auto" w:before="17"/>
              <w:ind w:right="57"/>
              <w:rPr>
                <w:sz w:val="16"/>
              </w:rPr>
            </w:pPr>
            <w:r>
              <w:rPr>
                <w:color w:val="231F20"/>
                <w:w w:val="105"/>
                <w:sz w:val="16"/>
              </w:rPr>
              <w:t>Yes, savings are being reinvested in the SA program. PEI has also invested $75 million in COVID-related supports for people and the economy. SA clients who were eligible for these supports did not see their benefits impacted.</w:t>
            </w:r>
          </w:p>
        </w:tc>
        <w:tc>
          <w:tcPr>
            <w:tcW w:w="2677" w:type="dxa"/>
          </w:tcPr>
          <w:p>
            <w:pPr>
              <w:pStyle w:val="TableParagraph"/>
              <w:spacing w:line="259" w:lineRule="auto" w:before="17"/>
              <w:ind w:right="77"/>
              <w:rPr>
                <w:sz w:val="16"/>
              </w:rPr>
            </w:pPr>
            <w:r>
              <w:rPr>
                <w:color w:val="231F20"/>
                <w:w w:val="105"/>
                <w:sz w:val="16"/>
              </w:rPr>
              <w:t>Yes, savings are being reinvested in the SA program.</w:t>
            </w:r>
          </w:p>
        </w:tc>
      </w:tr>
      <w:tr>
        <w:trPr>
          <w:trHeight w:val="805" w:hRule="atLeast"/>
        </w:trPr>
        <w:tc>
          <w:tcPr>
            <w:tcW w:w="1320" w:type="dxa"/>
            <w:shd w:val="clear" w:color="auto" w:fill="F1F2F2"/>
          </w:tcPr>
          <w:p>
            <w:pPr>
              <w:pStyle w:val="TableParagraph"/>
              <w:spacing w:line="249" w:lineRule="auto" w:before="5"/>
              <w:ind w:left="80" w:right="349"/>
              <w:jc w:val="both"/>
              <w:rPr>
                <w:sz w:val="18"/>
              </w:rPr>
            </w:pPr>
            <w:r>
              <w:rPr>
                <w:color w:val="231F20"/>
                <w:sz w:val="18"/>
              </w:rPr>
              <w:t>Impact on subsidized housing</w:t>
            </w:r>
          </w:p>
        </w:tc>
        <w:tc>
          <w:tcPr>
            <w:tcW w:w="2677" w:type="dxa"/>
          </w:tcPr>
          <w:p>
            <w:pPr>
              <w:pStyle w:val="TableParagraph"/>
              <w:spacing w:line="259" w:lineRule="auto" w:before="17"/>
              <w:ind w:right="77"/>
              <w:rPr>
                <w:sz w:val="16"/>
              </w:rPr>
            </w:pPr>
            <w:r>
              <w:rPr>
                <w:color w:val="231F20"/>
                <w:w w:val="105"/>
                <w:sz w:val="16"/>
              </w:rPr>
              <w:t>CERB will be factored into all RGI calculations (to be treated like EI).</w:t>
            </w:r>
          </w:p>
        </w:tc>
        <w:tc>
          <w:tcPr>
            <w:tcW w:w="2677" w:type="dxa"/>
          </w:tcPr>
          <w:p>
            <w:pPr>
              <w:pStyle w:val="TableParagraph"/>
              <w:spacing w:line="259" w:lineRule="auto" w:before="17"/>
              <w:rPr>
                <w:sz w:val="16"/>
              </w:rPr>
            </w:pPr>
            <w:r>
              <w:rPr>
                <w:color w:val="231F20"/>
                <w:w w:val="105"/>
                <w:sz w:val="16"/>
              </w:rPr>
              <w:t>RGI rent will not be adjusted upwards based on the CERB.</w:t>
            </w:r>
          </w:p>
        </w:tc>
        <w:tc>
          <w:tcPr>
            <w:tcW w:w="2677" w:type="dxa"/>
          </w:tcPr>
          <w:p>
            <w:pPr>
              <w:pStyle w:val="TableParagraph"/>
              <w:spacing w:line="259" w:lineRule="auto" w:before="17"/>
              <w:rPr>
                <w:sz w:val="16"/>
              </w:rPr>
            </w:pPr>
            <w:r>
              <w:rPr>
                <w:color w:val="231F20"/>
                <w:w w:val="105"/>
                <w:sz w:val="16"/>
              </w:rPr>
              <w:t>RGI rent will not be increased due to the CERB.</w:t>
            </w:r>
          </w:p>
        </w:tc>
      </w:tr>
      <w:tr>
        <w:trPr>
          <w:trHeight w:val="1492" w:hRule="atLeast"/>
        </w:trPr>
        <w:tc>
          <w:tcPr>
            <w:tcW w:w="1320" w:type="dxa"/>
            <w:tcBorders>
              <w:bottom w:val="nil"/>
            </w:tcBorders>
            <w:shd w:val="clear" w:color="auto" w:fill="F1F2F2"/>
          </w:tcPr>
          <w:p>
            <w:pPr>
              <w:pStyle w:val="TableParagraph"/>
              <w:spacing w:line="249" w:lineRule="auto" w:before="5"/>
              <w:ind w:left="80" w:right="89"/>
              <w:rPr>
                <w:sz w:val="18"/>
              </w:rPr>
            </w:pPr>
            <w:r>
              <w:rPr>
                <w:color w:val="231F20"/>
                <w:sz w:val="18"/>
              </w:rPr>
              <w:t>Extra benefits being paid </w:t>
            </w:r>
            <w:r>
              <w:rPr>
                <w:color w:val="231F20"/>
                <w:spacing w:val="-9"/>
                <w:sz w:val="18"/>
              </w:rPr>
              <w:t>to </w:t>
            </w:r>
            <w:r>
              <w:rPr>
                <w:color w:val="231F20"/>
                <w:sz w:val="18"/>
              </w:rPr>
              <w:t>SA cases due to COVID</w:t>
            </w:r>
          </w:p>
        </w:tc>
        <w:tc>
          <w:tcPr>
            <w:tcW w:w="2677" w:type="dxa"/>
            <w:tcBorders>
              <w:bottom w:val="nil"/>
            </w:tcBorders>
          </w:tcPr>
          <w:p>
            <w:pPr>
              <w:pStyle w:val="TableParagraph"/>
              <w:spacing w:line="259" w:lineRule="auto" w:before="17"/>
              <w:ind w:right="57"/>
              <w:rPr>
                <w:sz w:val="16"/>
              </w:rPr>
            </w:pPr>
            <w:r>
              <w:rPr>
                <w:color w:val="231F20"/>
                <w:w w:val="105"/>
                <w:sz w:val="16"/>
              </w:rPr>
              <w:t>Newfoundland and Labrador Prescription Drug Program coverage retained for clients who become ineligible due to the CERB.</w:t>
            </w:r>
          </w:p>
        </w:tc>
        <w:tc>
          <w:tcPr>
            <w:tcW w:w="2677" w:type="dxa"/>
            <w:tcBorders>
              <w:bottom w:val="nil"/>
            </w:tcBorders>
          </w:tcPr>
          <w:p>
            <w:pPr>
              <w:pStyle w:val="TableParagraph"/>
              <w:spacing w:line="259" w:lineRule="auto" w:before="17"/>
              <w:ind w:right="308"/>
              <w:rPr>
                <w:sz w:val="16"/>
              </w:rPr>
            </w:pPr>
            <w:r>
              <w:rPr>
                <w:color w:val="231F20"/>
                <w:w w:val="105"/>
                <w:sz w:val="16"/>
              </w:rPr>
              <w:t>Clients continue to receive medical, optical and dental benefits and special needs as required.</w:t>
            </w:r>
          </w:p>
        </w:tc>
        <w:tc>
          <w:tcPr>
            <w:tcW w:w="2677" w:type="dxa"/>
            <w:tcBorders>
              <w:bottom w:val="nil"/>
            </w:tcBorders>
          </w:tcPr>
          <w:p>
            <w:pPr>
              <w:pStyle w:val="TableParagraph"/>
              <w:spacing w:line="259" w:lineRule="auto" w:before="17"/>
              <w:rPr>
                <w:sz w:val="16"/>
              </w:rPr>
            </w:pPr>
            <w:r>
              <w:rPr>
                <w:color w:val="231F20"/>
                <w:w w:val="105"/>
                <w:sz w:val="16"/>
              </w:rPr>
              <w:t>One-time payment of $50 per person in Income Support households. Clients will keep drug coverage and bus pass (where applicable) while receiving the CERB.</w:t>
            </w:r>
          </w:p>
        </w:tc>
      </w:tr>
      <w:tr>
        <w:trPr>
          <w:trHeight w:val="521" w:hRule="atLeast"/>
        </w:trPr>
        <w:tc>
          <w:tcPr>
            <w:tcW w:w="1320" w:type="dxa"/>
            <w:tcBorders>
              <w:top w:val="nil"/>
            </w:tcBorders>
            <w:shd w:val="clear" w:color="auto" w:fill="F1F2F2"/>
          </w:tcPr>
          <w:p>
            <w:pPr>
              <w:pStyle w:val="TableParagraph"/>
              <w:ind w:left="0"/>
              <w:rPr>
                <w:rFonts w:ascii="Times New Roman"/>
                <w:sz w:val="16"/>
              </w:rPr>
            </w:pPr>
          </w:p>
        </w:tc>
        <w:tc>
          <w:tcPr>
            <w:tcW w:w="2677" w:type="dxa"/>
            <w:tcBorders>
              <w:top w:val="nil"/>
            </w:tcBorders>
          </w:tcPr>
          <w:p>
            <w:pPr>
              <w:pStyle w:val="TableParagraph"/>
              <w:ind w:left="0"/>
              <w:rPr>
                <w:rFonts w:ascii="Times New Roman"/>
                <w:sz w:val="16"/>
              </w:rPr>
            </w:pPr>
          </w:p>
        </w:tc>
        <w:tc>
          <w:tcPr>
            <w:tcW w:w="2677" w:type="dxa"/>
            <w:tcBorders>
              <w:top w:val="nil"/>
            </w:tcBorders>
          </w:tcPr>
          <w:p>
            <w:pPr>
              <w:pStyle w:val="TableParagraph"/>
              <w:ind w:left="0"/>
              <w:rPr>
                <w:rFonts w:ascii="Times New Roman"/>
                <w:sz w:val="16"/>
              </w:rPr>
            </w:pPr>
          </w:p>
        </w:tc>
        <w:tc>
          <w:tcPr>
            <w:tcW w:w="2677" w:type="dxa"/>
            <w:tcBorders>
              <w:top w:val="nil"/>
            </w:tcBorders>
          </w:tcPr>
          <w:p>
            <w:pPr>
              <w:pStyle w:val="TableParagraph"/>
              <w:spacing w:line="240" w:lineRule="atLeast" w:before="6"/>
              <w:ind w:right="289"/>
              <w:rPr>
                <w:sz w:val="16"/>
              </w:rPr>
            </w:pPr>
            <w:r>
              <w:rPr>
                <w:color w:val="231F20"/>
                <w:w w:val="105"/>
                <w:sz w:val="16"/>
              </w:rPr>
              <w:t>Pharmacare co-payments exempted for all ESIA clients.</w:t>
            </w:r>
          </w:p>
        </w:tc>
      </w:tr>
      <w:tr>
        <w:trPr>
          <w:trHeight w:val="753" w:hRule="atLeast"/>
        </w:trPr>
        <w:tc>
          <w:tcPr>
            <w:tcW w:w="1320" w:type="dxa"/>
            <w:shd w:val="clear" w:color="auto" w:fill="F1F2F2"/>
          </w:tcPr>
          <w:p>
            <w:pPr>
              <w:pStyle w:val="TableParagraph"/>
              <w:spacing w:line="249" w:lineRule="auto" w:before="5"/>
              <w:ind w:left="80" w:right="99"/>
              <w:rPr>
                <w:rFonts w:ascii="Minion Pro"/>
                <w:sz w:val="10"/>
              </w:rPr>
            </w:pPr>
            <w:r>
              <w:rPr>
                <w:color w:val="231F20"/>
                <w:sz w:val="18"/>
              </w:rPr>
              <w:t>Youth aging out of care</w:t>
            </w:r>
            <w:r>
              <w:rPr>
                <w:rFonts w:ascii="Minion Pro"/>
                <w:color w:val="231F20"/>
                <w:position w:val="6"/>
                <w:sz w:val="10"/>
              </w:rPr>
              <w:t>9 10</w:t>
            </w:r>
          </w:p>
        </w:tc>
        <w:tc>
          <w:tcPr>
            <w:tcW w:w="2677" w:type="dxa"/>
          </w:tcPr>
          <w:p>
            <w:pPr>
              <w:pStyle w:val="TableParagraph"/>
              <w:spacing w:line="259" w:lineRule="auto" w:before="17"/>
              <w:rPr>
                <w:rFonts w:ascii="Minion Pro"/>
                <w:sz w:val="9"/>
              </w:rPr>
            </w:pPr>
            <w:r>
              <w:rPr>
                <w:color w:val="231F20"/>
                <w:w w:val="105"/>
                <w:sz w:val="16"/>
              </w:rPr>
              <w:t>Youth will continue to receive supports during COVID.</w:t>
            </w:r>
            <w:r>
              <w:rPr>
                <w:rFonts w:ascii="Minion Pro"/>
                <w:color w:val="231F20"/>
                <w:w w:val="105"/>
                <w:position w:val="5"/>
                <w:sz w:val="9"/>
              </w:rPr>
              <w:t>11</w:t>
            </w:r>
          </w:p>
        </w:tc>
        <w:tc>
          <w:tcPr>
            <w:tcW w:w="2677" w:type="dxa"/>
          </w:tcPr>
          <w:p>
            <w:pPr>
              <w:pStyle w:val="TableParagraph"/>
              <w:spacing w:line="240" w:lineRule="exact" w:before="6"/>
              <w:rPr>
                <w:sz w:val="16"/>
              </w:rPr>
            </w:pPr>
            <w:r>
              <w:rPr>
                <w:color w:val="231F20"/>
                <w:w w:val="105"/>
                <w:sz w:val="16"/>
              </w:rPr>
              <w:t>Youth will not age out during COVID and will continue to receive supports.</w:t>
            </w:r>
          </w:p>
        </w:tc>
        <w:tc>
          <w:tcPr>
            <w:tcW w:w="2677" w:type="dxa"/>
          </w:tcPr>
          <w:p>
            <w:pPr>
              <w:pStyle w:val="TableParagraph"/>
              <w:spacing w:line="240" w:lineRule="exact" w:before="6"/>
              <w:ind w:right="423"/>
              <w:jc w:val="both"/>
              <w:rPr>
                <w:sz w:val="16"/>
              </w:rPr>
            </w:pPr>
            <w:r>
              <w:rPr>
                <w:color w:val="231F20"/>
                <w:spacing w:val="2"/>
                <w:w w:val="105"/>
                <w:sz w:val="16"/>
              </w:rPr>
              <w:t>Extended support</w:t>
            </w:r>
            <w:r>
              <w:rPr>
                <w:color w:val="231F20"/>
                <w:spacing w:val="-26"/>
                <w:w w:val="105"/>
                <w:sz w:val="16"/>
              </w:rPr>
              <w:t> </w:t>
            </w:r>
            <w:r>
              <w:rPr>
                <w:color w:val="231F20"/>
                <w:w w:val="105"/>
                <w:sz w:val="16"/>
              </w:rPr>
              <w:t>available until the end of</w:t>
            </w:r>
            <w:r>
              <w:rPr>
                <w:color w:val="231F20"/>
                <w:spacing w:val="-24"/>
                <w:w w:val="105"/>
                <w:sz w:val="16"/>
              </w:rPr>
              <w:t> </w:t>
            </w:r>
            <w:r>
              <w:rPr>
                <w:color w:val="231F20"/>
                <w:w w:val="105"/>
                <w:sz w:val="16"/>
              </w:rPr>
              <w:t>September, 2020.</w:t>
            </w:r>
          </w:p>
        </w:tc>
      </w:tr>
    </w:tbl>
    <w:p>
      <w:pPr>
        <w:pStyle w:val="BodyText"/>
        <w:spacing w:before="6"/>
        <w:rPr>
          <w:sz w:val="25"/>
        </w:rPr>
      </w:pPr>
      <w:r>
        <w:rPr/>
        <w:pict>
          <v:shape style="position:absolute;margin-left:72pt;margin-top:17.669001pt;width:72pt;height:.1pt;mso-position-horizontal-relative:page;mso-position-vertical-relative:paragraph;z-index:-15726592;mso-wrap-distance-left:0;mso-wrap-distance-right:0" coordorigin="1440,353" coordsize="1440,0" path="m1440,353l2880,353e" filled="false" stroked="true" strokeweight=".75pt" strokecolor="#231f20">
            <v:path arrowok="t"/>
            <v:stroke dashstyle="solid"/>
            <w10:wrap type="topAndBottom"/>
          </v:shape>
        </w:pict>
      </w:r>
    </w:p>
    <w:p>
      <w:pPr>
        <w:pStyle w:val="ListParagraph"/>
        <w:numPr>
          <w:ilvl w:val="0"/>
          <w:numId w:val="2"/>
        </w:numPr>
        <w:tabs>
          <w:tab w:pos="819" w:val="left" w:leader="none"/>
          <w:tab w:pos="820" w:val="left" w:leader="none"/>
        </w:tabs>
        <w:spacing w:line="240" w:lineRule="auto" w:before="140" w:after="0"/>
        <w:ind w:left="820" w:right="0" w:hanging="360"/>
        <w:jc w:val="left"/>
        <w:rPr>
          <w:sz w:val="14"/>
        </w:rPr>
      </w:pPr>
      <w:hyperlink r:id="rId9">
        <w:r>
          <w:rPr>
            <w:color w:val="0562C1"/>
            <w:sz w:val="14"/>
            <w:u w:val="single" w:color="0562C1"/>
          </w:rPr>
          <w:t>https://www.gov.nl.ca/releases/2020/aesl/0409n05</w:t>
        </w:r>
        <w:r>
          <w:rPr>
            <w:color w:val="0562C1"/>
            <w:sz w:val="14"/>
          </w:rPr>
          <w:t>/</w:t>
        </w:r>
      </w:hyperlink>
    </w:p>
    <w:p>
      <w:pPr>
        <w:pStyle w:val="ListParagraph"/>
        <w:numPr>
          <w:ilvl w:val="0"/>
          <w:numId w:val="2"/>
        </w:numPr>
        <w:tabs>
          <w:tab w:pos="819" w:val="left" w:leader="none"/>
          <w:tab w:pos="820" w:val="left" w:leader="none"/>
        </w:tabs>
        <w:spacing w:line="240" w:lineRule="auto" w:before="86" w:after="0"/>
        <w:ind w:left="820" w:right="0" w:hanging="360"/>
        <w:jc w:val="left"/>
        <w:rPr>
          <w:sz w:val="14"/>
        </w:rPr>
      </w:pPr>
      <w:hyperlink r:id="rId10">
        <w:r>
          <w:rPr>
            <w:color w:val="0562C1"/>
            <w:sz w:val="14"/>
            <w:u w:val="single" w:color="0562C1"/>
          </w:rPr>
          <w:t>https://www.nlhc.nl.ca/wp-content/uploads/2020/03/Public-Advisory-NLHC-Rental-Adjustments-Updated-Mar26-2020.pdf</w:t>
        </w:r>
      </w:hyperlink>
    </w:p>
    <w:p>
      <w:pPr>
        <w:pStyle w:val="ListParagraph"/>
        <w:numPr>
          <w:ilvl w:val="0"/>
          <w:numId w:val="2"/>
        </w:numPr>
        <w:tabs>
          <w:tab w:pos="819" w:val="left" w:leader="none"/>
          <w:tab w:pos="820" w:val="left" w:leader="none"/>
        </w:tabs>
        <w:spacing w:line="240" w:lineRule="auto" w:before="87" w:after="0"/>
        <w:ind w:left="820" w:right="0" w:hanging="360"/>
        <w:jc w:val="left"/>
        <w:rPr>
          <w:sz w:val="14"/>
        </w:rPr>
      </w:pPr>
      <w:hyperlink r:id="rId11">
        <w:r>
          <w:rPr>
            <w:color w:val="0562C1"/>
            <w:sz w:val="14"/>
            <w:u w:val="single" w:color="0562C1"/>
          </w:rPr>
          <w:t>https://www.gov.nl.ca/aesl/feature/covid-19-information-about-aesl-programs-and-services</w:t>
        </w:r>
        <w:r>
          <w:rPr>
            <w:color w:val="0562C1"/>
            <w:sz w:val="14"/>
          </w:rPr>
          <w:t>/</w:t>
        </w:r>
      </w:hyperlink>
    </w:p>
    <w:p>
      <w:pPr>
        <w:pStyle w:val="ListParagraph"/>
        <w:numPr>
          <w:ilvl w:val="0"/>
          <w:numId w:val="2"/>
        </w:numPr>
        <w:tabs>
          <w:tab w:pos="819" w:val="left" w:leader="none"/>
          <w:tab w:pos="820" w:val="left" w:leader="none"/>
        </w:tabs>
        <w:spacing w:line="240" w:lineRule="auto" w:before="86" w:after="0"/>
        <w:ind w:left="819" w:right="0" w:hanging="360"/>
        <w:jc w:val="left"/>
        <w:rPr>
          <w:sz w:val="14"/>
        </w:rPr>
      </w:pPr>
      <w:r>
        <w:rPr>
          <w:color w:val="231F20"/>
          <w:sz w:val="14"/>
        </w:rPr>
        <w:t>Provincial</w:t>
      </w:r>
      <w:r>
        <w:rPr>
          <w:color w:val="231F20"/>
          <w:spacing w:val="-1"/>
          <w:sz w:val="14"/>
        </w:rPr>
        <w:t> </w:t>
      </w:r>
      <w:r>
        <w:rPr>
          <w:color w:val="231F20"/>
          <w:sz w:val="14"/>
        </w:rPr>
        <w:t>official</w:t>
      </w:r>
    </w:p>
    <w:p>
      <w:pPr>
        <w:pStyle w:val="ListParagraph"/>
        <w:numPr>
          <w:ilvl w:val="0"/>
          <w:numId w:val="2"/>
        </w:numPr>
        <w:tabs>
          <w:tab w:pos="819" w:val="left" w:leader="none"/>
          <w:tab w:pos="820" w:val="left" w:leader="none"/>
        </w:tabs>
        <w:spacing w:line="240" w:lineRule="auto" w:before="86" w:after="0"/>
        <w:ind w:left="820" w:right="0" w:hanging="360"/>
        <w:jc w:val="left"/>
        <w:rPr>
          <w:sz w:val="14"/>
        </w:rPr>
      </w:pPr>
      <w:hyperlink r:id="rId12">
        <w:r>
          <w:rPr>
            <w:color w:val="0562C1"/>
            <w:sz w:val="14"/>
            <w:u w:val="single" w:color="0562C1"/>
          </w:rPr>
          <w:t>https://novascotia.ca/news/release/?id=20200319004</w:t>
        </w:r>
      </w:hyperlink>
    </w:p>
    <w:p>
      <w:pPr>
        <w:pStyle w:val="ListParagraph"/>
        <w:numPr>
          <w:ilvl w:val="0"/>
          <w:numId w:val="2"/>
        </w:numPr>
        <w:tabs>
          <w:tab w:pos="819" w:val="left" w:leader="none"/>
          <w:tab w:pos="820" w:val="left" w:leader="none"/>
        </w:tabs>
        <w:spacing w:line="240" w:lineRule="auto" w:before="87" w:after="0"/>
        <w:ind w:left="820" w:right="0" w:hanging="360"/>
        <w:jc w:val="left"/>
        <w:rPr>
          <w:sz w:val="14"/>
        </w:rPr>
      </w:pPr>
      <w:hyperlink r:id="rId13">
        <w:r>
          <w:rPr>
            <w:color w:val="0562C1"/>
            <w:sz w:val="14"/>
            <w:u w:val="single" w:color="0562C1"/>
          </w:rPr>
          <w:t>https://nsadvocate.org/2020/04/18/nova-scotia-allows-social-assistance-recipients-to-keep-cerb-payments</w:t>
        </w:r>
        <w:r>
          <w:rPr>
            <w:color w:val="0562C1"/>
            <w:sz w:val="14"/>
          </w:rPr>
          <w:t>/</w:t>
        </w:r>
      </w:hyperlink>
    </w:p>
    <w:p>
      <w:pPr>
        <w:pStyle w:val="ListParagraph"/>
        <w:numPr>
          <w:ilvl w:val="0"/>
          <w:numId w:val="2"/>
        </w:numPr>
        <w:tabs>
          <w:tab w:pos="819" w:val="left" w:leader="none"/>
          <w:tab w:pos="820" w:val="left" w:leader="none"/>
        </w:tabs>
        <w:spacing w:line="240" w:lineRule="auto" w:before="86" w:after="0"/>
        <w:ind w:left="819" w:right="0" w:hanging="360"/>
        <w:jc w:val="left"/>
        <w:rPr>
          <w:sz w:val="14"/>
        </w:rPr>
      </w:pPr>
      <w:r>
        <w:rPr>
          <w:color w:val="231F20"/>
          <w:sz w:val="14"/>
        </w:rPr>
        <w:t>Provincial</w:t>
      </w:r>
      <w:r>
        <w:rPr>
          <w:color w:val="231F20"/>
          <w:spacing w:val="-1"/>
          <w:sz w:val="14"/>
        </w:rPr>
        <w:t> </w:t>
      </w:r>
      <w:r>
        <w:rPr>
          <w:color w:val="231F20"/>
          <w:sz w:val="14"/>
        </w:rPr>
        <w:t>officials</w:t>
      </w:r>
    </w:p>
    <w:p>
      <w:pPr>
        <w:tabs>
          <w:tab w:pos="819" w:val="left" w:leader="none"/>
        </w:tabs>
        <w:spacing w:before="87"/>
        <w:ind w:left="460" w:right="0" w:firstLine="0"/>
        <w:jc w:val="left"/>
        <w:rPr>
          <w:sz w:val="14"/>
        </w:rPr>
      </w:pPr>
      <w:r>
        <w:rPr>
          <w:color w:val="231F20"/>
          <w:sz w:val="14"/>
        </w:rPr>
        <w:t>9</w:t>
        <w:tab/>
      </w:r>
      <w:hyperlink r:id="rId14">
        <w:r>
          <w:rPr>
            <w:color w:val="0562C1"/>
            <w:sz w:val="14"/>
            <w:u w:val="single" w:color="0562C1"/>
          </w:rPr>
          <w:t>https://www.sac-isc.gc.ca/eng/1100100035204/1533307858805</w:t>
        </w:r>
      </w:hyperlink>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8">
        <w:r>
          <w:rPr>
            <w:color w:val="0562C1"/>
            <w:sz w:val="14"/>
            <w:u w:val="single" w:color="0562C1"/>
          </w:rPr>
          <w:t>https://7f9b59af-af92-41cd-8e6c-aa2870f170de.filesusr.com/ugd/f54667_ebf43dd50cd04af0876a7b2744dfd6ae.pdf</w:t>
        </w:r>
      </w:hyperlink>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15">
        <w:r>
          <w:rPr>
            <w:color w:val="0562C1"/>
            <w:sz w:val="14"/>
            <w:u w:val="single" w:color="0562C1"/>
          </w:rPr>
          <w:t>https://www.gov.nl.ca/releases/2020/cssd/0407n02</w:t>
        </w:r>
        <w:r>
          <w:rPr>
            <w:color w:val="0562C1"/>
            <w:sz w:val="14"/>
          </w:rPr>
          <w:t>/</w:t>
        </w:r>
      </w:hyperlink>
    </w:p>
    <w:p>
      <w:pPr>
        <w:spacing w:after="0" w:line="240" w:lineRule="auto"/>
        <w:jc w:val="left"/>
        <w:rPr>
          <w:sz w:val="14"/>
        </w:rPr>
        <w:sectPr>
          <w:pgSz w:w="12240" w:h="15840"/>
          <w:pgMar w:header="0" w:footer="723" w:top="1440" w:bottom="920" w:left="980" w:right="1320"/>
        </w:sectPr>
      </w:pPr>
    </w:p>
    <w:tbl>
      <w:tblPr>
        <w:tblW w:w="0" w:type="auto"/>
        <w:jc w:val="left"/>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78"/>
        <w:gridCol w:w="1978"/>
        <w:gridCol w:w="1978"/>
        <w:gridCol w:w="3418"/>
      </w:tblGrid>
      <w:tr>
        <w:trPr>
          <w:trHeight w:val="800" w:hRule="atLeast"/>
        </w:trPr>
        <w:tc>
          <w:tcPr>
            <w:tcW w:w="9352" w:type="dxa"/>
            <w:gridSpan w:val="4"/>
            <w:shd w:val="clear" w:color="auto" w:fill="6379A9"/>
          </w:tcPr>
          <w:p>
            <w:pPr>
              <w:pStyle w:val="TableParagraph"/>
              <w:spacing w:line="259" w:lineRule="auto" w:before="98"/>
              <w:ind w:left="2871" w:hanging="2391"/>
              <w:rPr>
                <w:rFonts w:ascii="FrutigerLTStd-Bold"/>
                <w:b/>
                <w:sz w:val="20"/>
              </w:rPr>
            </w:pPr>
            <w:r>
              <w:rPr>
                <w:rFonts w:ascii="FrutigerLTStd-Bold"/>
                <w:b/>
                <w:color w:val="FFFFFF"/>
                <w:sz w:val="20"/>
              </w:rPr>
              <w:t>CERB interactions with provincial and territorial social assistance and subsidized housing programs and youth aging out of care</w:t>
            </w:r>
          </w:p>
        </w:tc>
      </w:tr>
      <w:tr>
        <w:trPr>
          <w:trHeight w:val="309" w:hRule="atLeast"/>
        </w:trPr>
        <w:tc>
          <w:tcPr>
            <w:tcW w:w="1978" w:type="dxa"/>
            <w:shd w:val="clear" w:color="auto" w:fill="CBD0E2"/>
          </w:tcPr>
          <w:p>
            <w:pPr>
              <w:pStyle w:val="TableParagraph"/>
              <w:ind w:left="0"/>
              <w:rPr>
                <w:rFonts w:ascii="Times New Roman"/>
                <w:sz w:val="16"/>
              </w:rPr>
            </w:pPr>
          </w:p>
        </w:tc>
        <w:tc>
          <w:tcPr>
            <w:tcW w:w="1978" w:type="dxa"/>
            <w:shd w:val="clear" w:color="auto" w:fill="CBD0E2"/>
          </w:tcPr>
          <w:p>
            <w:pPr>
              <w:pStyle w:val="TableParagraph"/>
              <w:spacing w:before="4"/>
              <w:rPr>
                <w:rFonts w:ascii="Minion Pro"/>
                <w:sz w:val="13"/>
              </w:rPr>
            </w:pPr>
            <w:r>
              <w:rPr>
                <w:color w:val="231F20"/>
                <w:position w:val="-6"/>
                <w:sz w:val="20"/>
              </w:rPr>
              <w:t>NB</w:t>
            </w:r>
            <w:r>
              <w:rPr>
                <w:rFonts w:ascii="Minion Pro"/>
                <w:color w:val="231F20"/>
                <w:sz w:val="13"/>
              </w:rPr>
              <w:t>12</w:t>
            </w:r>
          </w:p>
        </w:tc>
        <w:tc>
          <w:tcPr>
            <w:tcW w:w="1978" w:type="dxa"/>
            <w:shd w:val="clear" w:color="auto" w:fill="CBD0E2"/>
          </w:tcPr>
          <w:p>
            <w:pPr>
              <w:pStyle w:val="TableParagraph"/>
              <w:spacing w:before="8"/>
              <w:ind w:left="78"/>
              <w:rPr>
                <w:rFonts w:ascii="Minion Pro"/>
                <w:sz w:val="20"/>
              </w:rPr>
            </w:pPr>
            <w:r>
              <w:rPr>
                <w:color w:val="231F20"/>
                <w:sz w:val="20"/>
              </w:rPr>
              <w:t>Quebec</w:t>
            </w:r>
            <w:r>
              <w:rPr>
                <w:rFonts w:ascii="Minion Pro"/>
                <w:color w:val="231F20"/>
                <w:sz w:val="20"/>
                <w:vertAlign w:val="superscript"/>
              </w:rPr>
              <w:t>13</w:t>
            </w:r>
          </w:p>
        </w:tc>
        <w:tc>
          <w:tcPr>
            <w:tcW w:w="3418" w:type="dxa"/>
            <w:shd w:val="clear" w:color="auto" w:fill="CBD0E2"/>
          </w:tcPr>
          <w:p>
            <w:pPr>
              <w:pStyle w:val="TableParagraph"/>
              <w:spacing w:before="8"/>
              <w:ind w:left="78"/>
              <w:rPr>
                <w:rFonts w:ascii="Minion Pro"/>
                <w:sz w:val="20"/>
              </w:rPr>
            </w:pPr>
            <w:r>
              <w:rPr>
                <w:color w:val="231F20"/>
                <w:w w:val="105"/>
                <w:sz w:val="20"/>
              </w:rPr>
              <w:t>Ontario</w:t>
            </w:r>
            <w:r>
              <w:rPr>
                <w:rFonts w:ascii="Minion Pro"/>
                <w:color w:val="231F20"/>
                <w:w w:val="105"/>
                <w:sz w:val="20"/>
                <w:vertAlign w:val="superscript"/>
              </w:rPr>
              <w:t>14</w:t>
            </w:r>
            <w:r>
              <w:rPr>
                <w:rFonts w:ascii="Minion Pro"/>
                <w:color w:val="231F20"/>
                <w:w w:val="105"/>
                <w:sz w:val="20"/>
                <w:vertAlign w:val="baseline"/>
              </w:rPr>
              <w:t> </w:t>
            </w:r>
            <w:r>
              <w:rPr>
                <w:rFonts w:ascii="Minion Pro"/>
                <w:color w:val="231F20"/>
                <w:w w:val="105"/>
                <w:sz w:val="20"/>
                <w:vertAlign w:val="superscript"/>
              </w:rPr>
              <w:t>15</w:t>
            </w:r>
            <w:r>
              <w:rPr>
                <w:rFonts w:ascii="Minion Pro"/>
                <w:color w:val="231F20"/>
                <w:w w:val="105"/>
                <w:sz w:val="20"/>
                <w:vertAlign w:val="baseline"/>
              </w:rPr>
              <w:t> </w:t>
            </w:r>
            <w:r>
              <w:rPr>
                <w:rFonts w:ascii="Minion Pro"/>
                <w:color w:val="231F20"/>
                <w:w w:val="105"/>
                <w:sz w:val="20"/>
                <w:vertAlign w:val="superscript"/>
              </w:rPr>
              <w:t>16</w:t>
            </w:r>
          </w:p>
        </w:tc>
      </w:tr>
      <w:tr>
        <w:trPr>
          <w:trHeight w:val="1725" w:hRule="atLeast"/>
        </w:trPr>
        <w:tc>
          <w:tcPr>
            <w:tcW w:w="1978" w:type="dxa"/>
            <w:shd w:val="clear" w:color="auto" w:fill="F1F2F2"/>
          </w:tcPr>
          <w:p>
            <w:pPr>
              <w:pStyle w:val="TableParagraph"/>
              <w:spacing w:line="230" w:lineRule="auto" w:before="14"/>
              <w:ind w:left="80" w:right="277"/>
              <w:rPr>
                <w:sz w:val="18"/>
              </w:rPr>
            </w:pPr>
            <w:r>
              <w:rPr>
                <w:color w:val="231F20"/>
                <w:sz w:val="18"/>
              </w:rPr>
              <w:t>Treatment of CERB for SA calculation</w:t>
            </w:r>
          </w:p>
        </w:tc>
        <w:tc>
          <w:tcPr>
            <w:tcW w:w="1978" w:type="dxa"/>
          </w:tcPr>
          <w:p>
            <w:pPr>
              <w:pStyle w:val="TableParagraph"/>
              <w:spacing w:before="5"/>
              <w:rPr>
                <w:sz w:val="18"/>
              </w:rPr>
            </w:pPr>
            <w:r>
              <w:rPr>
                <w:color w:val="231F20"/>
                <w:sz w:val="18"/>
              </w:rPr>
              <w:t>Full clawback.</w:t>
            </w:r>
          </w:p>
        </w:tc>
        <w:tc>
          <w:tcPr>
            <w:tcW w:w="1978" w:type="dxa"/>
          </w:tcPr>
          <w:p>
            <w:pPr>
              <w:pStyle w:val="TableParagraph"/>
              <w:spacing w:line="230" w:lineRule="auto" w:before="14"/>
              <w:ind w:left="78"/>
              <w:rPr>
                <w:sz w:val="18"/>
              </w:rPr>
            </w:pPr>
            <w:r>
              <w:rPr>
                <w:color w:val="231F20"/>
                <w:sz w:val="18"/>
              </w:rPr>
              <w:t>Treated as earnings. For single Social Assistance and Social Solidarity clients the first $200 is exempt; for families the first</w:t>
            </w:r>
          </w:p>
          <w:p>
            <w:pPr>
              <w:pStyle w:val="TableParagraph"/>
              <w:spacing w:line="245" w:lineRule="exact"/>
              <w:ind w:left="78"/>
              <w:rPr>
                <w:sz w:val="18"/>
              </w:rPr>
            </w:pPr>
            <w:r>
              <w:rPr>
                <w:color w:val="231F20"/>
                <w:sz w:val="18"/>
              </w:rPr>
              <w:t>$300 is exempt.</w:t>
            </w:r>
          </w:p>
        </w:tc>
        <w:tc>
          <w:tcPr>
            <w:tcW w:w="3418" w:type="dxa"/>
          </w:tcPr>
          <w:p>
            <w:pPr>
              <w:pStyle w:val="TableParagraph"/>
              <w:spacing w:line="230" w:lineRule="auto" w:before="14"/>
              <w:ind w:left="78" w:right="88"/>
              <w:rPr>
                <w:sz w:val="18"/>
              </w:rPr>
            </w:pPr>
            <w:r>
              <w:rPr>
                <w:color w:val="231F20"/>
                <w:sz w:val="18"/>
              </w:rPr>
              <w:t>Treated as earnings. First $200 exempt then 50% of remainder so clients  keep </w:t>
            </w:r>
            <w:r>
              <w:rPr>
                <w:color w:val="231F20"/>
                <w:spacing w:val="-5"/>
                <w:sz w:val="18"/>
              </w:rPr>
              <w:t>$1,100 </w:t>
            </w:r>
            <w:r>
              <w:rPr>
                <w:color w:val="231F20"/>
                <w:sz w:val="18"/>
              </w:rPr>
              <w:t>net of their CERB per month.</w:t>
            </w:r>
          </w:p>
        </w:tc>
      </w:tr>
      <w:tr>
        <w:trPr>
          <w:trHeight w:val="765" w:hRule="atLeast"/>
        </w:trPr>
        <w:tc>
          <w:tcPr>
            <w:tcW w:w="1978" w:type="dxa"/>
            <w:shd w:val="clear" w:color="auto" w:fill="F1F2F2"/>
          </w:tcPr>
          <w:p>
            <w:pPr>
              <w:pStyle w:val="TableParagraph"/>
              <w:spacing w:line="230" w:lineRule="auto" w:before="14"/>
              <w:ind w:left="80" w:right="427"/>
              <w:rPr>
                <w:sz w:val="18"/>
              </w:rPr>
            </w:pPr>
            <w:r>
              <w:rPr>
                <w:color w:val="231F20"/>
                <w:sz w:val="18"/>
              </w:rPr>
              <w:t>Will people lose eligibility for SA?</w:t>
            </w:r>
          </w:p>
        </w:tc>
        <w:tc>
          <w:tcPr>
            <w:tcW w:w="1978" w:type="dxa"/>
          </w:tcPr>
          <w:p>
            <w:pPr>
              <w:pStyle w:val="TableParagraph"/>
              <w:spacing w:before="5"/>
              <w:rPr>
                <w:sz w:val="18"/>
              </w:rPr>
            </w:pPr>
            <w:r>
              <w:rPr>
                <w:color w:val="231F20"/>
                <w:sz w:val="18"/>
              </w:rPr>
              <w:t>yes</w:t>
            </w:r>
          </w:p>
        </w:tc>
        <w:tc>
          <w:tcPr>
            <w:tcW w:w="1978" w:type="dxa"/>
          </w:tcPr>
          <w:p>
            <w:pPr>
              <w:pStyle w:val="TableParagraph"/>
              <w:spacing w:line="230" w:lineRule="auto" w:before="14"/>
              <w:ind w:left="78" w:right="229"/>
              <w:rPr>
                <w:sz w:val="18"/>
              </w:rPr>
            </w:pPr>
            <w:r>
              <w:rPr>
                <w:color w:val="231F20"/>
                <w:sz w:val="18"/>
              </w:rPr>
              <w:t>Yes (when earnings exceed maximum benefit payable).</w:t>
            </w:r>
          </w:p>
        </w:tc>
        <w:tc>
          <w:tcPr>
            <w:tcW w:w="3418" w:type="dxa"/>
          </w:tcPr>
          <w:p>
            <w:pPr>
              <w:pStyle w:val="TableParagraph"/>
              <w:spacing w:line="230" w:lineRule="auto" w:before="14"/>
              <w:ind w:left="78"/>
              <w:rPr>
                <w:sz w:val="18"/>
              </w:rPr>
            </w:pPr>
            <w:r>
              <w:rPr>
                <w:color w:val="231F20"/>
                <w:sz w:val="18"/>
              </w:rPr>
              <w:t>No, anyone with negative entitlement kept on assistance.</w:t>
            </w:r>
          </w:p>
        </w:tc>
      </w:tr>
      <w:tr>
        <w:trPr>
          <w:trHeight w:val="1005" w:hRule="atLeast"/>
        </w:trPr>
        <w:tc>
          <w:tcPr>
            <w:tcW w:w="1978" w:type="dxa"/>
            <w:shd w:val="clear" w:color="auto" w:fill="F1F2F2"/>
          </w:tcPr>
          <w:p>
            <w:pPr>
              <w:pStyle w:val="TableParagraph"/>
              <w:spacing w:line="230" w:lineRule="auto" w:before="14"/>
              <w:ind w:left="80"/>
              <w:rPr>
                <w:sz w:val="18"/>
              </w:rPr>
            </w:pPr>
            <w:r>
              <w:rPr>
                <w:color w:val="231F20"/>
                <w:sz w:val="18"/>
              </w:rPr>
              <w:t>Are SA savings being reinvested?</w:t>
            </w:r>
          </w:p>
        </w:tc>
        <w:tc>
          <w:tcPr>
            <w:tcW w:w="1978" w:type="dxa"/>
          </w:tcPr>
          <w:p>
            <w:pPr>
              <w:pStyle w:val="TableParagraph"/>
              <w:spacing w:before="5"/>
              <w:rPr>
                <w:sz w:val="18"/>
              </w:rPr>
            </w:pPr>
            <w:r>
              <w:rPr>
                <w:color w:val="231F20"/>
                <w:sz w:val="18"/>
              </w:rPr>
              <w:t>Currently unknown</w:t>
            </w:r>
          </w:p>
        </w:tc>
        <w:tc>
          <w:tcPr>
            <w:tcW w:w="1978" w:type="dxa"/>
          </w:tcPr>
          <w:p>
            <w:pPr>
              <w:pStyle w:val="TableParagraph"/>
              <w:spacing w:before="5"/>
              <w:ind w:left="78"/>
              <w:rPr>
                <w:sz w:val="18"/>
              </w:rPr>
            </w:pPr>
            <w:r>
              <w:rPr>
                <w:color w:val="231F20"/>
                <w:sz w:val="18"/>
              </w:rPr>
              <w:t>No</w:t>
            </w:r>
          </w:p>
        </w:tc>
        <w:tc>
          <w:tcPr>
            <w:tcW w:w="3418" w:type="dxa"/>
          </w:tcPr>
          <w:p>
            <w:pPr>
              <w:pStyle w:val="TableParagraph"/>
              <w:spacing w:line="230" w:lineRule="auto" w:before="14"/>
              <w:ind w:left="78" w:right="328"/>
              <w:rPr>
                <w:sz w:val="18"/>
              </w:rPr>
            </w:pPr>
            <w:r>
              <w:rPr>
                <w:color w:val="231F20"/>
                <w:sz w:val="18"/>
              </w:rPr>
              <w:t>Yes, emergency benefits available to singles and families who are not</w:t>
            </w:r>
          </w:p>
          <w:p>
            <w:pPr>
              <w:pStyle w:val="TableParagraph"/>
              <w:spacing w:line="230" w:lineRule="auto" w:before="1"/>
              <w:ind w:left="78"/>
              <w:rPr>
                <w:sz w:val="18"/>
              </w:rPr>
            </w:pPr>
            <w:r>
              <w:rPr>
                <w:color w:val="231F20"/>
                <w:sz w:val="18"/>
              </w:rPr>
              <w:t>receiving CERB based on $30 million a month savings.</w:t>
            </w:r>
          </w:p>
        </w:tc>
      </w:tr>
      <w:tr>
        <w:trPr>
          <w:trHeight w:val="2685" w:hRule="atLeast"/>
        </w:trPr>
        <w:tc>
          <w:tcPr>
            <w:tcW w:w="1978" w:type="dxa"/>
            <w:shd w:val="clear" w:color="auto" w:fill="F1F2F2"/>
          </w:tcPr>
          <w:p>
            <w:pPr>
              <w:pStyle w:val="TableParagraph"/>
              <w:spacing w:line="230" w:lineRule="auto" w:before="14"/>
              <w:ind w:left="80"/>
              <w:rPr>
                <w:sz w:val="18"/>
              </w:rPr>
            </w:pPr>
            <w:r>
              <w:rPr>
                <w:color w:val="231F20"/>
                <w:sz w:val="18"/>
              </w:rPr>
              <w:t>Impact on subsidized housing</w:t>
            </w:r>
          </w:p>
        </w:tc>
        <w:tc>
          <w:tcPr>
            <w:tcW w:w="1978" w:type="dxa"/>
          </w:tcPr>
          <w:p>
            <w:pPr>
              <w:pStyle w:val="TableParagraph"/>
              <w:spacing w:line="230" w:lineRule="auto" w:before="14"/>
              <w:ind w:right="178"/>
              <w:rPr>
                <w:sz w:val="18"/>
              </w:rPr>
            </w:pPr>
            <w:r>
              <w:rPr>
                <w:color w:val="231F20"/>
                <w:sz w:val="18"/>
              </w:rPr>
              <w:t>CERB will be factored into all RGI calculations (to be treated like EI).</w:t>
            </w:r>
          </w:p>
        </w:tc>
        <w:tc>
          <w:tcPr>
            <w:tcW w:w="1978" w:type="dxa"/>
          </w:tcPr>
          <w:p>
            <w:pPr>
              <w:pStyle w:val="TableParagraph"/>
              <w:spacing w:line="230" w:lineRule="auto" w:before="14"/>
              <w:ind w:left="78" w:right="299"/>
              <w:rPr>
                <w:sz w:val="18"/>
              </w:rPr>
            </w:pPr>
            <w:r>
              <w:rPr>
                <w:color w:val="231F20"/>
                <w:sz w:val="18"/>
              </w:rPr>
              <w:t>CERB will not increase rents in the short term as they are based on the previous year’s</w:t>
            </w:r>
          </w:p>
          <w:p>
            <w:pPr>
              <w:pStyle w:val="TableParagraph"/>
              <w:spacing w:line="230" w:lineRule="auto" w:before="3"/>
              <w:ind w:left="78" w:right="119"/>
              <w:rPr>
                <w:sz w:val="18"/>
              </w:rPr>
            </w:pPr>
            <w:r>
              <w:rPr>
                <w:color w:val="231F20"/>
                <w:sz w:val="18"/>
              </w:rPr>
              <w:t>income. CERB will be factored into 2021 rent calculations, based on 2020 income.</w:t>
            </w:r>
          </w:p>
        </w:tc>
        <w:tc>
          <w:tcPr>
            <w:tcW w:w="3418" w:type="dxa"/>
          </w:tcPr>
          <w:p>
            <w:pPr>
              <w:pStyle w:val="TableParagraph"/>
              <w:spacing w:line="230" w:lineRule="auto" w:before="14"/>
              <w:ind w:left="78" w:right="79"/>
              <w:rPr>
                <w:sz w:val="18"/>
              </w:rPr>
            </w:pPr>
            <w:r>
              <w:rPr>
                <w:color w:val="231F20"/>
                <w:sz w:val="18"/>
              </w:rPr>
              <w:t>CERB is counted as income for the purposes of RGI. The impacts are not uniform across the province - some service managers are operating under new regulations which set rents at 30% of income from the previous</w:t>
            </w:r>
          </w:p>
          <w:p>
            <w:pPr>
              <w:pStyle w:val="TableParagraph"/>
              <w:spacing w:line="230" w:lineRule="auto" w:before="4"/>
              <w:ind w:left="78" w:right="128"/>
              <w:rPr>
                <w:sz w:val="18"/>
              </w:rPr>
            </w:pPr>
            <w:r>
              <w:rPr>
                <w:color w:val="231F20"/>
                <w:sz w:val="18"/>
              </w:rPr>
              <w:t>tax year rather than 30% of current income. Service managers are also able to apply some discretion in cases where a tenant has experienced income fluctuations.</w:t>
            </w:r>
          </w:p>
        </w:tc>
      </w:tr>
      <w:tr>
        <w:trPr>
          <w:trHeight w:val="1725" w:hRule="atLeast"/>
        </w:trPr>
        <w:tc>
          <w:tcPr>
            <w:tcW w:w="1978" w:type="dxa"/>
            <w:shd w:val="clear" w:color="auto" w:fill="F1F2F2"/>
          </w:tcPr>
          <w:p>
            <w:pPr>
              <w:pStyle w:val="TableParagraph"/>
              <w:spacing w:line="230" w:lineRule="auto" w:before="14"/>
              <w:ind w:left="80" w:right="156"/>
              <w:jc w:val="both"/>
              <w:rPr>
                <w:sz w:val="18"/>
              </w:rPr>
            </w:pPr>
            <w:r>
              <w:rPr>
                <w:color w:val="231F20"/>
                <w:sz w:val="18"/>
              </w:rPr>
              <w:t>Extra benefits being paid to SA cases due to COVID</w:t>
            </w:r>
          </w:p>
        </w:tc>
        <w:tc>
          <w:tcPr>
            <w:tcW w:w="1978" w:type="dxa"/>
          </w:tcPr>
          <w:p>
            <w:pPr>
              <w:pStyle w:val="TableParagraph"/>
              <w:spacing w:line="230" w:lineRule="auto" w:before="14"/>
              <w:rPr>
                <w:sz w:val="18"/>
              </w:rPr>
            </w:pPr>
            <w:r>
              <w:rPr>
                <w:color w:val="231F20"/>
                <w:sz w:val="18"/>
              </w:rPr>
              <w:t>Clients will keep health benefits while receiving the CERB.</w:t>
            </w:r>
          </w:p>
        </w:tc>
        <w:tc>
          <w:tcPr>
            <w:tcW w:w="1978" w:type="dxa"/>
          </w:tcPr>
          <w:p>
            <w:pPr>
              <w:pStyle w:val="TableParagraph"/>
              <w:spacing w:line="230" w:lineRule="auto" w:before="14"/>
              <w:ind w:left="78" w:right="379"/>
              <w:rPr>
                <w:sz w:val="18"/>
              </w:rPr>
            </w:pPr>
            <w:r>
              <w:rPr>
                <w:color w:val="231F20"/>
                <w:sz w:val="18"/>
              </w:rPr>
              <w:t>Drug and dental benefits retained for six months for Social Assistance</w:t>
            </w:r>
          </w:p>
          <w:p>
            <w:pPr>
              <w:pStyle w:val="TableParagraph"/>
              <w:spacing w:line="230" w:lineRule="auto" w:before="2"/>
              <w:ind w:left="78"/>
              <w:rPr>
                <w:sz w:val="18"/>
              </w:rPr>
            </w:pPr>
            <w:r>
              <w:rPr>
                <w:color w:val="231F20"/>
                <w:sz w:val="18"/>
              </w:rPr>
              <w:t>clients and four years for Social Solidarity clients.</w:t>
            </w:r>
          </w:p>
        </w:tc>
        <w:tc>
          <w:tcPr>
            <w:tcW w:w="3418" w:type="dxa"/>
          </w:tcPr>
          <w:p>
            <w:pPr>
              <w:pStyle w:val="TableParagraph"/>
              <w:spacing w:line="230" w:lineRule="auto" w:before="14"/>
              <w:ind w:left="78"/>
              <w:rPr>
                <w:sz w:val="18"/>
              </w:rPr>
            </w:pPr>
            <w:r>
              <w:rPr>
                <w:color w:val="231F20"/>
                <w:sz w:val="18"/>
              </w:rPr>
              <w:t>All health benefits retained. Ontario Works and ODSP clients ineligible for the CERB can request an emergency benefit of up to $100 for singles and</w:t>
            </w:r>
          </w:p>
          <w:p>
            <w:pPr>
              <w:pStyle w:val="TableParagraph"/>
              <w:spacing w:line="230" w:lineRule="auto" w:before="2"/>
              <w:ind w:left="78"/>
              <w:rPr>
                <w:rFonts w:ascii="Minion Pro"/>
                <w:sz w:val="10"/>
              </w:rPr>
            </w:pPr>
            <w:r>
              <w:rPr>
                <w:color w:val="231F20"/>
                <w:sz w:val="18"/>
              </w:rPr>
              <w:t>$200 for families. Emergency Benefit extended from May to July.</w:t>
            </w:r>
            <w:r>
              <w:rPr>
                <w:rFonts w:ascii="Minion Pro"/>
                <w:color w:val="231F20"/>
                <w:position w:val="6"/>
                <w:sz w:val="10"/>
              </w:rPr>
              <w:t>17</w:t>
            </w:r>
          </w:p>
        </w:tc>
      </w:tr>
      <w:tr>
        <w:trPr>
          <w:trHeight w:val="1550" w:hRule="atLeast"/>
        </w:trPr>
        <w:tc>
          <w:tcPr>
            <w:tcW w:w="1978" w:type="dxa"/>
            <w:shd w:val="clear" w:color="auto" w:fill="F1F2F2"/>
          </w:tcPr>
          <w:p>
            <w:pPr>
              <w:pStyle w:val="TableParagraph"/>
              <w:spacing w:line="230" w:lineRule="auto" w:before="14"/>
              <w:ind w:left="80" w:right="247"/>
              <w:rPr>
                <w:sz w:val="10"/>
              </w:rPr>
            </w:pPr>
            <w:r>
              <w:rPr>
                <w:color w:val="231F20"/>
                <w:sz w:val="18"/>
              </w:rPr>
              <w:t>Youth aging out of care</w:t>
            </w:r>
            <w:r>
              <w:rPr>
                <w:color w:val="231F20"/>
                <w:position w:val="6"/>
                <w:sz w:val="10"/>
              </w:rPr>
              <w:t>9 10</w:t>
            </w:r>
          </w:p>
        </w:tc>
        <w:tc>
          <w:tcPr>
            <w:tcW w:w="1978" w:type="dxa"/>
          </w:tcPr>
          <w:p>
            <w:pPr>
              <w:pStyle w:val="TableParagraph"/>
              <w:spacing w:line="230" w:lineRule="auto" w:before="14"/>
              <w:ind w:right="229"/>
              <w:jc w:val="both"/>
              <w:rPr>
                <w:sz w:val="18"/>
              </w:rPr>
            </w:pPr>
            <w:r>
              <w:rPr>
                <w:color w:val="231F20"/>
                <w:sz w:val="18"/>
              </w:rPr>
              <w:t>Youth will</w:t>
            </w:r>
            <w:r>
              <w:rPr>
                <w:color w:val="231F20"/>
                <w:spacing w:val="-17"/>
                <w:sz w:val="18"/>
              </w:rPr>
              <w:t> </w:t>
            </w:r>
            <w:r>
              <w:rPr>
                <w:color w:val="231F20"/>
                <w:sz w:val="18"/>
              </w:rPr>
              <w:t>continue to receive </w:t>
            </w:r>
            <w:r>
              <w:rPr>
                <w:color w:val="231F20"/>
                <w:spacing w:val="2"/>
                <w:sz w:val="18"/>
              </w:rPr>
              <w:t>supports </w:t>
            </w:r>
            <w:r>
              <w:rPr>
                <w:color w:val="231F20"/>
                <w:sz w:val="18"/>
              </w:rPr>
              <w:t>during COVID</w:t>
            </w:r>
          </w:p>
          <w:p>
            <w:pPr>
              <w:pStyle w:val="TableParagraph"/>
              <w:spacing w:line="230" w:lineRule="auto" w:before="2"/>
              <w:ind w:right="358"/>
              <w:rPr>
                <w:sz w:val="18"/>
              </w:rPr>
            </w:pPr>
            <w:r>
              <w:rPr>
                <w:color w:val="231F20"/>
                <w:sz w:val="18"/>
              </w:rPr>
              <w:t>(NB Youth in Care network).</w:t>
            </w:r>
          </w:p>
        </w:tc>
        <w:tc>
          <w:tcPr>
            <w:tcW w:w="1978" w:type="dxa"/>
          </w:tcPr>
          <w:p>
            <w:pPr>
              <w:pStyle w:val="TableParagraph"/>
              <w:spacing w:before="5"/>
              <w:ind w:left="78"/>
              <w:rPr>
                <w:sz w:val="18"/>
              </w:rPr>
            </w:pPr>
            <w:r>
              <w:rPr>
                <w:color w:val="231F20"/>
                <w:sz w:val="18"/>
              </w:rPr>
              <w:t>Currently unknown</w:t>
            </w:r>
          </w:p>
        </w:tc>
        <w:tc>
          <w:tcPr>
            <w:tcW w:w="3418" w:type="dxa"/>
          </w:tcPr>
          <w:p>
            <w:pPr>
              <w:pStyle w:val="TableParagraph"/>
              <w:spacing w:line="230" w:lineRule="auto" w:before="14"/>
              <w:ind w:left="78" w:right="789"/>
              <w:rPr>
                <w:rFonts w:ascii="Minion Pro"/>
                <w:sz w:val="10"/>
              </w:rPr>
            </w:pPr>
            <w:r>
              <w:rPr>
                <w:color w:val="231F20"/>
                <w:sz w:val="18"/>
              </w:rPr>
              <w:t>Youth will not age out during pandemic.</w:t>
            </w:r>
            <w:r>
              <w:rPr>
                <w:rFonts w:ascii="Minion Pro"/>
                <w:color w:val="231F20"/>
                <w:position w:val="6"/>
                <w:sz w:val="10"/>
              </w:rPr>
              <w:t>18</w:t>
            </w:r>
          </w:p>
        </w:tc>
      </w:tr>
    </w:tbl>
    <w:p>
      <w:pPr>
        <w:pStyle w:val="BodyText"/>
        <w:spacing w:before="11"/>
        <w:rPr>
          <w:sz w:val="20"/>
        </w:rPr>
      </w:pPr>
      <w:r>
        <w:rPr/>
        <w:pict>
          <v:shape style="position:absolute;margin-left:72pt;margin-top:14.9293pt;width:72pt;height:.1pt;mso-position-horizontal-relative:page;mso-position-vertical-relative:paragraph;z-index:-15726080;mso-wrap-distance-left:0;mso-wrap-distance-right:0" coordorigin="1440,299" coordsize="1440,0" path="m1440,299l2880,299e" filled="false" stroked="true" strokeweight=".75pt" strokecolor="#231f20">
            <v:path arrowok="t"/>
            <v:stroke dashstyle="solid"/>
            <w10:wrap type="topAndBottom"/>
          </v:shape>
        </w:pict>
      </w:r>
    </w:p>
    <w:p>
      <w:pPr>
        <w:pStyle w:val="ListParagraph"/>
        <w:numPr>
          <w:ilvl w:val="0"/>
          <w:numId w:val="3"/>
        </w:numPr>
        <w:tabs>
          <w:tab w:pos="819" w:val="left" w:leader="none"/>
          <w:tab w:pos="820" w:val="left" w:leader="none"/>
        </w:tabs>
        <w:spacing w:line="240" w:lineRule="auto" w:before="140" w:after="0"/>
        <w:ind w:left="819" w:right="0" w:hanging="360"/>
        <w:jc w:val="left"/>
        <w:rPr>
          <w:sz w:val="14"/>
        </w:rPr>
      </w:pPr>
      <w:r>
        <w:rPr>
          <w:color w:val="231F20"/>
          <w:sz w:val="14"/>
        </w:rPr>
        <w:t>Provincial</w:t>
      </w:r>
      <w:r>
        <w:rPr>
          <w:color w:val="231F20"/>
          <w:spacing w:val="-14"/>
          <w:sz w:val="14"/>
        </w:rPr>
        <w:t> </w:t>
      </w:r>
      <w:r>
        <w:rPr>
          <w:color w:val="231F20"/>
          <w:sz w:val="14"/>
        </w:rPr>
        <w:t>officials</w:t>
      </w:r>
    </w:p>
    <w:p>
      <w:pPr>
        <w:pStyle w:val="ListParagraph"/>
        <w:numPr>
          <w:ilvl w:val="0"/>
          <w:numId w:val="3"/>
        </w:numPr>
        <w:tabs>
          <w:tab w:pos="819" w:val="left" w:leader="none"/>
          <w:tab w:pos="820" w:val="left" w:leader="none"/>
        </w:tabs>
        <w:spacing w:line="240" w:lineRule="auto" w:before="86" w:after="0"/>
        <w:ind w:left="819" w:right="0" w:hanging="360"/>
        <w:jc w:val="left"/>
        <w:rPr>
          <w:sz w:val="14"/>
        </w:rPr>
      </w:pPr>
      <w:r>
        <w:rPr>
          <w:color w:val="231F20"/>
          <w:sz w:val="14"/>
        </w:rPr>
        <w:t>Provincial</w:t>
      </w:r>
      <w:r>
        <w:rPr>
          <w:color w:val="231F20"/>
          <w:spacing w:val="-14"/>
          <w:sz w:val="14"/>
        </w:rPr>
        <w:t> </w:t>
      </w:r>
      <w:r>
        <w:rPr>
          <w:color w:val="231F20"/>
          <w:sz w:val="14"/>
        </w:rPr>
        <w:t>officials</w:t>
      </w:r>
    </w:p>
    <w:p>
      <w:pPr>
        <w:pStyle w:val="ListParagraph"/>
        <w:numPr>
          <w:ilvl w:val="0"/>
          <w:numId w:val="3"/>
        </w:numPr>
        <w:tabs>
          <w:tab w:pos="819" w:val="left" w:leader="none"/>
          <w:tab w:pos="820" w:val="left" w:leader="none"/>
        </w:tabs>
        <w:spacing w:line="240" w:lineRule="auto" w:before="87" w:after="0"/>
        <w:ind w:left="820" w:right="1617" w:hanging="360"/>
        <w:jc w:val="left"/>
        <w:rPr>
          <w:sz w:val="14"/>
        </w:rPr>
      </w:pPr>
      <w:hyperlink r:id="rId16">
        <w:r>
          <w:rPr>
            <w:color w:val="0562C1"/>
            <w:spacing w:val="-1"/>
            <w:sz w:val="14"/>
            <w:u w:val="single" w:color="0562C1"/>
          </w:rPr>
          <w:t>https://www.thestar.com/news/gta/2020/04/20/ontario-to-allow-people-on-social-assistance-to-keep-part-of-emergency-bene-</w:t>
        </w:r>
      </w:hyperlink>
      <w:hyperlink r:id="rId16">
        <w:r>
          <w:rPr>
            <w:color w:val="0562C1"/>
            <w:spacing w:val="-1"/>
            <w:sz w:val="14"/>
            <w:u w:val="single" w:color="0562C1"/>
          </w:rPr>
          <w:t> </w:t>
        </w:r>
        <w:r>
          <w:rPr>
            <w:color w:val="0562C1"/>
            <w:sz w:val="14"/>
            <w:u w:val="single" w:color="0562C1"/>
          </w:rPr>
          <w:t>fits.ht</w:t>
        </w:r>
        <w:r>
          <w:rPr>
            <w:color w:val="0562C1"/>
            <w:sz w:val="14"/>
          </w:rPr>
          <w:t>ml</w:t>
        </w:r>
      </w:hyperlink>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17">
        <w:r>
          <w:rPr>
            <w:color w:val="0562C1"/>
            <w:sz w:val="14"/>
            <w:u w:val="single" w:color="0562C1"/>
          </w:rPr>
          <w:t>https://www.mcss.gov.on.ca/en/mcss/programs/social/ow</w:t>
        </w:r>
        <w:r>
          <w:rPr>
            <w:color w:val="0562C1"/>
            <w:sz w:val="14"/>
          </w:rPr>
          <w:t>/</w:t>
        </w:r>
      </w:hyperlink>
    </w:p>
    <w:p>
      <w:pPr>
        <w:pStyle w:val="ListParagraph"/>
        <w:numPr>
          <w:ilvl w:val="0"/>
          <w:numId w:val="3"/>
        </w:numPr>
        <w:tabs>
          <w:tab w:pos="819" w:val="left" w:leader="none"/>
          <w:tab w:pos="820" w:val="left" w:leader="none"/>
        </w:tabs>
        <w:spacing w:line="240" w:lineRule="auto" w:before="86" w:after="0"/>
        <w:ind w:left="819" w:right="0" w:hanging="360"/>
        <w:jc w:val="left"/>
        <w:rPr>
          <w:sz w:val="14"/>
        </w:rPr>
      </w:pPr>
      <w:r>
        <w:rPr>
          <w:color w:val="231F20"/>
          <w:sz w:val="14"/>
        </w:rPr>
        <w:t>Provincial</w:t>
      </w:r>
      <w:r>
        <w:rPr>
          <w:color w:val="231F20"/>
          <w:spacing w:val="-1"/>
          <w:sz w:val="14"/>
        </w:rPr>
        <w:t> </w:t>
      </w:r>
      <w:r>
        <w:rPr>
          <w:color w:val="231F20"/>
          <w:sz w:val="14"/>
        </w:rPr>
        <w:t>officials</w:t>
      </w:r>
    </w:p>
    <w:p>
      <w:pPr>
        <w:pStyle w:val="ListParagraph"/>
        <w:numPr>
          <w:ilvl w:val="0"/>
          <w:numId w:val="3"/>
        </w:numPr>
        <w:tabs>
          <w:tab w:pos="819" w:val="left" w:leader="none"/>
          <w:tab w:pos="820" w:val="left" w:leader="none"/>
        </w:tabs>
        <w:spacing w:line="240" w:lineRule="auto" w:before="87" w:after="0"/>
        <w:ind w:left="819" w:right="0" w:hanging="360"/>
        <w:jc w:val="left"/>
        <w:rPr>
          <w:sz w:val="14"/>
        </w:rPr>
      </w:pPr>
      <w:r>
        <w:rPr>
          <w:color w:val="231F20"/>
          <w:sz w:val="14"/>
        </w:rPr>
        <w:t>Social Assistance Coalition of Scarborough</w:t>
      </w:r>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18">
        <w:r>
          <w:rPr>
            <w:color w:val="0562C1"/>
            <w:sz w:val="14"/>
            <w:u w:val="single" w:color="0562C1"/>
          </w:rPr>
          <w:t>https://aptnnews.ca/2020/03/26/ontario-government-issues-moratorium-on-youth-aging-out-of-care-during-pandemic</w:t>
        </w:r>
        <w:r>
          <w:rPr>
            <w:color w:val="0562C1"/>
            <w:sz w:val="14"/>
          </w:rPr>
          <w:t>/</w:t>
        </w:r>
      </w:hyperlink>
    </w:p>
    <w:p>
      <w:pPr>
        <w:spacing w:after="0" w:line="240" w:lineRule="auto"/>
        <w:jc w:val="left"/>
        <w:rPr>
          <w:sz w:val="14"/>
        </w:rPr>
        <w:sectPr>
          <w:pgSz w:w="12240" w:h="15840"/>
          <w:pgMar w:header="0" w:footer="723" w:top="1440" w:bottom="920" w:left="980" w:right="1320"/>
        </w:sectPr>
      </w:pPr>
    </w:p>
    <w:tbl>
      <w:tblPr>
        <w:tblW w:w="0" w:type="auto"/>
        <w:jc w:val="left"/>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978"/>
        <w:gridCol w:w="2458"/>
        <w:gridCol w:w="2458"/>
        <w:gridCol w:w="2458"/>
      </w:tblGrid>
      <w:tr>
        <w:trPr>
          <w:trHeight w:val="800" w:hRule="atLeast"/>
        </w:trPr>
        <w:tc>
          <w:tcPr>
            <w:tcW w:w="9352" w:type="dxa"/>
            <w:gridSpan w:val="4"/>
            <w:shd w:val="clear" w:color="auto" w:fill="6379A9"/>
          </w:tcPr>
          <w:p>
            <w:pPr>
              <w:pStyle w:val="TableParagraph"/>
              <w:spacing w:line="259" w:lineRule="auto" w:before="98"/>
              <w:ind w:left="2871" w:hanging="2391"/>
              <w:rPr>
                <w:rFonts w:ascii="FrutigerLTStd-Bold"/>
                <w:b/>
                <w:sz w:val="20"/>
              </w:rPr>
            </w:pPr>
            <w:r>
              <w:rPr>
                <w:rFonts w:ascii="FrutigerLTStd-Bold"/>
                <w:b/>
                <w:color w:val="FFFFFF"/>
                <w:sz w:val="20"/>
              </w:rPr>
              <w:t>CERB interactions with provincial and territorial social assistance and subsidized housing programs and youth aging out of care</w:t>
            </w:r>
          </w:p>
        </w:tc>
      </w:tr>
      <w:tr>
        <w:trPr>
          <w:trHeight w:val="309" w:hRule="atLeast"/>
        </w:trPr>
        <w:tc>
          <w:tcPr>
            <w:tcW w:w="1978" w:type="dxa"/>
            <w:shd w:val="clear" w:color="auto" w:fill="CBD0E2"/>
          </w:tcPr>
          <w:p>
            <w:pPr>
              <w:pStyle w:val="TableParagraph"/>
              <w:ind w:left="0"/>
              <w:rPr>
                <w:rFonts w:ascii="Times New Roman"/>
                <w:sz w:val="16"/>
              </w:rPr>
            </w:pPr>
          </w:p>
        </w:tc>
        <w:tc>
          <w:tcPr>
            <w:tcW w:w="2458" w:type="dxa"/>
            <w:shd w:val="clear" w:color="auto" w:fill="CBD0E2"/>
          </w:tcPr>
          <w:p>
            <w:pPr>
              <w:pStyle w:val="TableParagraph"/>
              <w:spacing w:before="8"/>
              <w:rPr>
                <w:rFonts w:ascii="Minion Pro"/>
                <w:sz w:val="20"/>
              </w:rPr>
            </w:pPr>
            <w:r>
              <w:rPr>
                <w:color w:val="231F20"/>
                <w:w w:val="105"/>
                <w:sz w:val="20"/>
              </w:rPr>
              <w:t>Manitoba</w:t>
            </w:r>
            <w:r>
              <w:rPr>
                <w:rFonts w:ascii="Minion Pro"/>
                <w:color w:val="231F20"/>
                <w:w w:val="105"/>
                <w:sz w:val="20"/>
                <w:vertAlign w:val="superscript"/>
              </w:rPr>
              <w:t>19</w:t>
            </w:r>
            <w:r>
              <w:rPr>
                <w:rFonts w:ascii="Minion Pro"/>
                <w:color w:val="231F20"/>
                <w:w w:val="105"/>
                <w:sz w:val="20"/>
                <w:vertAlign w:val="baseline"/>
              </w:rPr>
              <w:t> </w:t>
            </w:r>
            <w:r>
              <w:rPr>
                <w:rFonts w:ascii="Minion Pro"/>
                <w:color w:val="231F20"/>
                <w:w w:val="105"/>
                <w:sz w:val="20"/>
                <w:vertAlign w:val="superscript"/>
              </w:rPr>
              <w:t>20</w:t>
            </w:r>
          </w:p>
        </w:tc>
        <w:tc>
          <w:tcPr>
            <w:tcW w:w="2458" w:type="dxa"/>
            <w:shd w:val="clear" w:color="auto" w:fill="CBD0E2"/>
          </w:tcPr>
          <w:p>
            <w:pPr>
              <w:pStyle w:val="TableParagraph"/>
              <w:spacing w:before="8"/>
              <w:ind w:left="78"/>
              <w:rPr>
                <w:rFonts w:ascii="Minion Pro"/>
                <w:sz w:val="20"/>
              </w:rPr>
            </w:pPr>
            <w:r>
              <w:rPr>
                <w:color w:val="231F20"/>
                <w:sz w:val="20"/>
              </w:rPr>
              <w:t>Saskatchewan</w:t>
            </w:r>
            <w:r>
              <w:rPr>
                <w:rFonts w:ascii="Minion Pro"/>
                <w:color w:val="231F20"/>
                <w:sz w:val="20"/>
                <w:vertAlign w:val="superscript"/>
              </w:rPr>
              <w:t>21</w:t>
            </w:r>
          </w:p>
        </w:tc>
        <w:tc>
          <w:tcPr>
            <w:tcW w:w="2458" w:type="dxa"/>
            <w:shd w:val="clear" w:color="auto" w:fill="CBD0E2"/>
          </w:tcPr>
          <w:p>
            <w:pPr>
              <w:pStyle w:val="TableParagraph"/>
              <w:spacing w:before="8"/>
              <w:ind w:left="78"/>
              <w:rPr>
                <w:rFonts w:ascii="Minion Pro"/>
                <w:sz w:val="20"/>
              </w:rPr>
            </w:pPr>
            <w:r>
              <w:rPr>
                <w:color w:val="231F20"/>
                <w:w w:val="105"/>
                <w:sz w:val="20"/>
              </w:rPr>
              <w:t>Alberta</w:t>
            </w:r>
            <w:r>
              <w:rPr>
                <w:rFonts w:ascii="Minion Pro"/>
                <w:color w:val="231F20"/>
                <w:w w:val="105"/>
                <w:sz w:val="20"/>
                <w:vertAlign w:val="superscript"/>
              </w:rPr>
              <w:t>22</w:t>
            </w:r>
            <w:r>
              <w:rPr>
                <w:rFonts w:ascii="Minion Pro"/>
                <w:color w:val="231F20"/>
                <w:w w:val="105"/>
                <w:sz w:val="20"/>
                <w:vertAlign w:val="baseline"/>
              </w:rPr>
              <w:t> </w:t>
            </w:r>
            <w:r>
              <w:rPr>
                <w:rFonts w:ascii="Minion Pro"/>
                <w:color w:val="231F20"/>
                <w:w w:val="105"/>
                <w:sz w:val="20"/>
                <w:vertAlign w:val="superscript"/>
              </w:rPr>
              <w:t>23</w:t>
            </w:r>
          </w:p>
        </w:tc>
      </w:tr>
      <w:tr>
        <w:trPr>
          <w:trHeight w:val="1665" w:hRule="atLeast"/>
        </w:trPr>
        <w:tc>
          <w:tcPr>
            <w:tcW w:w="1978" w:type="dxa"/>
            <w:shd w:val="clear" w:color="auto" w:fill="F1F2F2"/>
          </w:tcPr>
          <w:p>
            <w:pPr>
              <w:pStyle w:val="TableParagraph"/>
              <w:spacing w:line="220" w:lineRule="auto" w:before="22"/>
              <w:ind w:left="80" w:right="277"/>
              <w:rPr>
                <w:sz w:val="18"/>
              </w:rPr>
            </w:pPr>
            <w:r>
              <w:rPr>
                <w:color w:val="231F20"/>
                <w:sz w:val="18"/>
              </w:rPr>
              <w:t>Treatment of CERB for SA calculation</w:t>
            </w:r>
          </w:p>
        </w:tc>
        <w:tc>
          <w:tcPr>
            <w:tcW w:w="2458" w:type="dxa"/>
          </w:tcPr>
          <w:p>
            <w:pPr>
              <w:pStyle w:val="TableParagraph"/>
              <w:spacing w:line="240" w:lineRule="exact" w:before="5"/>
              <w:rPr>
                <w:sz w:val="18"/>
              </w:rPr>
            </w:pPr>
            <w:r>
              <w:rPr>
                <w:color w:val="231F20"/>
                <w:sz w:val="18"/>
              </w:rPr>
              <w:t>Treated as earnings - first</w:t>
            </w:r>
          </w:p>
          <w:p>
            <w:pPr>
              <w:pStyle w:val="TableParagraph"/>
              <w:spacing w:line="220" w:lineRule="auto" w:before="7"/>
              <w:rPr>
                <w:sz w:val="18"/>
              </w:rPr>
            </w:pPr>
            <w:r>
              <w:rPr>
                <w:color w:val="231F20"/>
                <w:sz w:val="18"/>
              </w:rPr>
              <w:t>$200 exempt then 30% of remainder ($740).</w:t>
            </w:r>
          </w:p>
        </w:tc>
        <w:tc>
          <w:tcPr>
            <w:tcW w:w="2458" w:type="dxa"/>
          </w:tcPr>
          <w:p>
            <w:pPr>
              <w:pStyle w:val="TableParagraph"/>
              <w:spacing w:line="220" w:lineRule="auto" w:before="22"/>
              <w:ind w:left="78" w:right="199"/>
              <w:rPr>
                <w:sz w:val="18"/>
              </w:rPr>
            </w:pPr>
            <w:r>
              <w:rPr>
                <w:color w:val="231F20"/>
                <w:sz w:val="18"/>
              </w:rPr>
              <w:t>Full clawback, considered unearned income (provincial official).</w:t>
            </w:r>
          </w:p>
        </w:tc>
        <w:tc>
          <w:tcPr>
            <w:tcW w:w="2458" w:type="dxa"/>
          </w:tcPr>
          <w:p>
            <w:pPr>
              <w:pStyle w:val="TableParagraph"/>
              <w:spacing w:line="220" w:lineRule="auto" w:before="22"/>
              <w:ind w:left="78" w:right="199"/>
              <w:rPr>
                <w:rFonts w:ascii="Minion Pro"/>
                <w:sz w:val="18"/>
              </w:rPr>
            </w:pPr>
            <w:r>
              <w:rPr>
                <w:color w:val="231F20"/>
                <w:sz w:val="18"/>
              </w:rPr>
              <w:t>Treated as earnings - for singles, first $230 exempt then 25% of remainder ($672.50). - for two adult households, $115/adult then 25% of remainder ($586.25).</w:t>
            </w:r>
            <w:r>
              <w:rPr>
                <w:rFonts w:ascii="Minion Pro"/>
                <w:color w:val="231F20"/>
                <w:sz w:val="18"/>
                <w:vertAlign w:val="superscript"/>
              </w:rPr>
              <w:t>24</w:t>
            </w:r>
          </w:p>
        </w:tc>
      </w:tr>
      <w:tr>
        <w:trPr>
          <w:trHeight w:val="745" w:hRule="atLeast"/>
        </w:trPr>
        <w:tc>
          <w:tcPr>
            <w:tcW w:w="1978" w:type="dxa"/>
            <w:shd w:val="clear" w:color="auto" w:fill="F1F2F2"/>
          </w:tcPr>
          <w:p>
            <w:pPr>
              <w:pStyle w:val="TableParagraph"/>
              <w:spacing w:line="220" w:lineRule="auto" w:before="22"/>
              <w:ind w:left="80" w:right="427"/>
              <w:rPr>
                <w:sz w:val="18"/>
              </w:rPr>
            </w:pPr>
            <w:r>
              <w:rPr>
                <w:color w:val="231F20"/>
                <w:sz w:val="18"/>
              </w:rPr>
              <w:t>Will people lose eligibility for SA?</w:t>
            </w:r>
          </w:p>
        </w:tc>
        <w:tc>
          <w:tcPr>
            <w:tcW w:w="2458" w:type="dxa"/>
          </w:tcPr>
          <w:p>
            <w:pPr>
              <w:pStyle w:val="TableParagraph"/>
              <w:spacing w:line="220" w:lineRule="auto" w:before="22"/>
              <w:ind w:right="199"/>
              <w:rPr>
                <w:sz w:val="18"/>
              </w:rPr>
            </w:pPr>
            <w:r>
              <w:rPr>
                <w:color w:val="231F20"/>
                <w:sz w:val="18"/>
              </w:rPr>
              <w:t>Yes (when earnings exceed maximum benefit payable).</w:t>
            </w:r>
          </w:p>
        </w:tc>
        <w:tc>
          <w:tcPr>
            <w:tcW w:w="2458" w:type="dxa"/>
          </w:tcPr>
          <w:p>
            <w:pPr>
              <w:pStyle w:val="TableParagraph"/>
              <w:spacing w:before="5"/>
              <w:ind w:left="78"/>
              <w:rPr>
                <w:sz w:val="18"/>
              </w:rPr>
            </w:pPr>
            <w:r>
              <w:rPr>
                <w:color w:val="231F20"/>
                <w:sz w:val="18"/>
              </w:rPr>
              <w:t>yes</w:t>
            </w:r>
          </w:p>
        </w:tc>
        <w:tc>
          <w:tcPr>
            <w:tcW w:w="2458" w:type="dxa"/>
          </w:tcPr>
          <w:p>
            <w:pPr>
              <w:pStyle w:val="TableParagraph"/>
              <w:spacing w:line="220" w:lineRule="auto" w:before="22"/>
              <w:ind w:left="78" w:right="199"/>
              <w:rPr>
                <w:rFonts w:ascii="Minion Pro"/>
                <w:sz w:val="18"/>
              </w:rPr>
            </w:pPr>
            <w:r>
              <w:rPr>
                <w:color w:val="231F20"/>
                <w:sz w:val="18"/>
              </w:rPr>
              <w:t>Yes (when earnings exceed maximum benefit payable).</w:t>
            </w:r>
            <w:r>
              <w:rPr>
                <w:rFonts w:ascii="Minion Pro"/>
                <w:color w:val="231F20"/>
                <w:sz w:val="18"/>
                <w:vertAlign w:val="superscript"/>
              </w:rPr>
              <w:t>25</w:t>
            </w:r>
          </w:p>
        </w:tc>
      </w:tr>
      <w:tr>
        <w:trPr>
          <w:trHeight w:val="515" w:hRule="atLeast"/>
        </w:trPr>
        <w:tc>
          <w:tcPr>
            <w:tcW w:w="1978" w:type="dxa"/>
            <w:shd w:val="clear" w:color="auto" w:fill="F1F2F2"/>
          </w:tcPr>
          <w:p>
            <w:pPr>
              <w:pStyle w:val="TableParagraph"/>
              <w:spacing w:line="220" w:lineRule="auto" w:before="22"/>
              <w:ind w:left="80"/>
              <w:rPr>
                <w:sz w:val="18"/>
              </w:rPr>
            </w:pPr>
            <w:r>
              <w:rPr>
                <w:color w:val="231F20"/>
                <w:sz w:val="18"/>
              </w:rPr>
              <w:t>Are SA savings being reinvested?</w:t>
            </w:r>
          </w:p>
        </w:tc>
        <w:tc>
          <w:tcPr>
            <w:tcW w:w="2458" w:type="dxa"/>
          </w:tcPr>
          <w:p>
            <w:pPr>
              <w:pStyle w:val="TableParagraph"/>
              <w:spacing w:before="5"/>
              <w:rPr>
                <w:sz w:val="18"/>
              </w:rPr>
            </w:pPr>
            <w:r>
              <w:rPr>
                <w:color w:val="231F20"/>
                <w:sz w:val="18"/>
              </w:rPr>
              <w:t>Currently unknown</w:t>
            </w:r>
          </w:p>
        </w:tc>
        <w:tc>
          <w:tcPr>
            <w:tcW w:w="2458" w:type="dxa"/>
          </w:tcPr>
          <w:p>
            <w:pPr>
              <w:pStyle w:val="TableParagraph"/>
              <w:spacing w:before="5"/>
              <w:ind w:left="78"/>
              <w:rPr>
                <w:sz w:val="18"/>
              </w:rPr>
            </w:pPr>
            <w:r>
              <w:rPr>
                <w:color w:val="231F20"/>
                <w:sz w:val="18"/>
              </w:rPr>
              <w:t>Currently unknown</w:t>
            </w:r>
          </w:p>
        </w:tc>
        <w:tc>
          <w:tcPr>
            <w:tcW w:w="2458" w:type="dxa"/>
          </w:tcPr>
          <w:p>
            <w:pPr>
              <w:pStyle w:val="TableParagraph"/>
              <w:spacing w:before="5"/>
              <w:ind w:left="78"/>
              <w:rPr>
                <w:sz w:val="18"/>
              </w:rPr>
            </w:pPr>
            <w:r>
              <w:rPr>
                <w:color w:val="231F20"/>
                <w:sz w:val="18"/>
              </w:rPr>
              <w:t>Currently unknown</w:t>
            </w:r>
          </w:p>
        </w:tc>
      </w:tr>
      <w:tr>
        <w:trPr>
          <w:trHeight w:val="1895" w:hRule="atLeast"/>
        </w:trPr>
        <w:tc>
          <w:tcPr>
            <w:tcW w:w="1978" w:type="dxa"/>
            <w:shd w:val="clear" w:color="auto" w:fill="F1F2F2"/>
          </w:tcPr>
          <w:p>
            <w:pPr>
              <w:pStyle w:val="TableParagraph"/>
              <w:spacing w:line="220" w:lineRule="auto" w:before="22"/>
              <w:ind w:left="80"/>
              <w:rPr>
                <w:sz w:val="18"/>
              </w:rPr>
            </w:pPr>
            <w:r>
              <w:rPr>
                <w:color w:val="231F20"/>
                <w:sz w:val="18"/>
              </w:rPr>
              <w:t>Impact on subsidized housing</w:t>
            </w:r>
          </w:p>
        </w:tc>
        <w:tc>
          <w:tcPr>
            <w:tcW w:w="2458" w:type="dxa"/>
          </w:tcPr>
          <w:p>
            <w:pPr>
              <w:pStyle w:val="TableParagraph"/>
              <w:spacing w:line="220" w:lineRule="auto" w:before="22"/>
              <w:ind w:right="122"/>
              <w:rPr>
                <w:sz w:val="18"/>
              </w:rPr>
            </w:pPr>
            <w:r>
              <w:rPr>
                <w:color w:val="231F20"/>
                <w:sz w:val="18"/>
              </w:rPr>
              <w:t>CERB will be counted as income when determining rent levels and subsidies. </w:t>
            </w:r>
            <w:r>
              <w:rPr>
                <w:color w:val="231F20"/>
                <w:spacing w:val="3"/>
                <w:sz w:val="18"/>
              </w:rPr>
              <w:t>As </w:t>
            </w:r>
            <w:r>
              <w:rPr>
                <w:color w:val="231F20"/>
                <w:sz w:val="18"/>
              </w:rPr>
              <w:t>this is based on annual income, tenants will not be </w:t>
            </w:r>
            <w:r>
              <w:rPr>
                <w:color w:val="231F20"/>
                <w:spacing w:val="2"/>
                <w:sz w:val="18"/>
              </w:rPr>
              <w:t>affected </w:t>
            </w:r>
            <w:r>
              <w:rPr>
                <w:color w:val="231F20"/>
                <w:sz w:val="18"/>
              </w:rPr>
              <w:t>until 2021 after they have filed their taxes for 2020.</w:t>
            </w:r>
          </w:p>
        </w:tc>
        <w:tc>
          <w:tcPr>
            <w:tcW w:w="2458" w:type="dxa"/>
          </w:tcPr>
          <w:p>
            <w:pPr>
              <w:pStyle w:val="TableParagraph"/>
              <w:spacing w:line="220" w:lineRule="auto" w:before="22"/>
              <w:ind w:left="78"/>
              <w:rPr>
                <w:sz w:val="18"/>
              </w:rPr>
            </w:pPr>
            <w:r>
              <w:rPr>
                <w:color w:val="231F20"/>
                <w:sz w:val="18"/>
              </w:rPr>
              <w:t>Most existing tenants will not see their rent affected by the CERB as annual rent reviews are temporarily on hold. New social housing applicants receiving the CERB will have it included.</w:t>
            </w:r>
          </w:p>
        </w:tc>
        <w:tc>
          <w:tcPr>
            <w:tcW w:w="2458" w:type="dxa"/>
          </w:tcPr>
          <w:p>
            <w:pPr>
              <w:pStyle w:val="TableParagraph"/>
              <w:spacing w:line="220" w:lineRule="auto" w:before="22"/>
              <w:ind w:left="78"/>
              <w:rPr>
                <w:sz w:val="18"/>
              </w:rPr>
            </w:pPr>
            <w:r>
              <w:rPr>
                <w:color w:val="231F20"/>
                <w:sz w:val="18"/>
              </w:rPr>
              <w:t>CERB will be factored into all RGI calculations.</w:t>
            </w:r>
          </w:p>
        </w:tc>
      </w:tr>
      <w:tr>
        <w:trPr>
          <w:trHeight w:val="1955" w:hRule="atLeast"/>
        </w:trPr>
        <w:tc>
          <w:tcPr>
            <w:tcW w:w="1978" w:type="dxa"/>
            <w:shd w:val="clear" w:color="auto" w:fill="F1F2F2"/>
          </w:tcPr>
          <w:p>
            <w:pPr>
              <w:pStyle w:val="TableParagraph"/>
              <w:spacing w:line="220" w:lineRule="auto" w:before="22"/>
              <w:ind w:left="80" w:right="156"/>
              <w:jc w:val="both"/>
              <w:rPr>
                <w:sz w:val="18"/>
              </w:rPr>
            </w:pPr>
            <w:r>
              <w:rPr>
                <w:color w:val="231F20"/>
                <w:sz w:val="18"/>
              </w:rPr>
              <w:t>Extra benefits being paid to SA cases due to COVID</w:t>
            </w:r>
          </w:p>
        </w:tc>
        <w:tc>
          <w:tcPr>
            <w:tcW w:w="2458" w:type="dxa"/>
          </w:tcPr>
          <w:p>
            <w:pPr>
              <w:pStyle w:val="TableParagraph"/>
              <w:spacing w:line="220" w:lineRule="auto" w:before="22"/>
              <w:rPr>
                <w:sz w:val="18"/>
              </w:rPr>
            </w:pPr>
            <w:r>
              <w:rPr>
                <w:color w:val="231F20"/>
                <w:sz w:val="18"/>
              </w:rPr>
              <w:t>Drug, dental and optical benefits retained.</w:t>
            </w:r>
          </w:p>
          <w:p>
            <w:pPr>
              <w:pStyle w:val="TableParagraph"/>
              <w:spacing w:line="220" w:lineRule="auto" w:before="61"/>
              <w:ind w:right="212"/>
              <w:rPr>
                <w:rFonts w:ascii="Minion Pro"/>
                <w:sz w:val="18"/>
              </w:rPr>
            </w:pPr>
            <w:r>
              <w:rPr>
                <w:color w:val="231F20"/>
                <w:sz w:val="18"/>
              </w:rPr>
              <w:t>One-time, non-taxable benefit of $200 to be sent to all persons with disabilities receiving Employment and Income Assistance in June</w:t>
            </w:r>
            <w:r>
              <w:rPr>
                <w:color w:val="231F20"/>
                <w:spacing w:val="27"/>
                <w:sz w:val="18"/>
              </w:rPr>
              <w:t> </w:t>
            </w:r>
            <w:r>
              <w:rPr>
                <w:color w:val="231F20"/>
                <w:sz w:val="18"/>
              </w:rPr>
              <w:t>2020.</w:t>
            </w:r>
            <w:r>
              <w:rPr>
                <w:rFonts w:ascii="Minion Pro"/>
                <w:color w:val="231F20"/>
                <w:sz w:val="18"/>
                <w:vertAlign w:val="superscript"/>
              </w:rPr>
              <w:t>26</w:t>
            </w:r>
          </w:p>
        </w:tc>
        <w:tc>
          <w:tcPr>
            <w:tcW w:w="2458" w:type="dxa"/>
          </w:tcPr>
          <w:p>
            <w:pPr>
              <w:pStyle w:val="TableParagraph"/>
              <w:spacing w:line="220" w:lineRule="auto" w:before="22"/>
              <w:ind w:left="78" w:right="89"/>
              <w:rPr>
                <w:sz w:val="18"/>
              </w:rPr>
            </w:pPr>
            <w:r>
              <w:rPr>
                <w:color w:val="231F20"/>
                <w:sz w:val="18"/>
              </w:rPr>
              <w:t>Supplementary health coverage still provided. A one-time benefit of $50 was paid to all adult social assistance clients who were eligible in April</w:t>
            </w:r>
            <w:r>
              <w:rPr>
                <w:color w:val="231F20"/>
                <w:spacing w:val="8"/>
                <w:sz w:val="18"/>
              </w:rPr>
              <w:t> </w:t>
            </w:r>
            <w:r>
              <w:rPr>
                <w:color w:val="231F20"/>
                <w:sz w:val="18"/>
              </w:rPr>
              <w:t>2020.</w:t>
            </w:r>
          </w:p>
        </w:tc>
        <w:tc>
          <w:tcPr>
            <w:tcW w:w="2458" w:type="dxa"/>
          </w:tcPr>
          <w:p>
            <w:pPr>
              <w:pStyle w:val="TableParagraph"/>
              <w:spacing w:line="220" w:lineRule="auto" w:before="22"/>
              <w:ind w:left="78" w:right="199"/>
              <w:rPr>
                <w:sz w:val="18"/>
              </w:rPr>
            </w:pPr>
            <w:r>
              <w:rPr>
                <w:color w:val="231F20"/>
                <w:sz w:val="18"/>
              </w:rPr>
              <w:t>SA clients will retain health benefits while receiving the CERB.</w:t>
            </w:r>
          </w:p>
          <w:p>
            <w:pPr>
              <w:pStyle w:val="TableParagraph"/>
              <w:spacing w:line="220" w:lineRule="auto" w:before="2"/>
              <w:ind w:left="78" w:right="199"/>
              <w:rPr>
                <w:sz w:val="18"/>
              </w:rPr>
            </w:pPr>
            <w:r>
              <w:rPr>
                <w:color w:val="231F20"/>
                <w:sz w:val="18"/>
              </w:rPr>
              <w:t>Pre-existing emergency financial assistance continues to be available.</w:t>
            </w:r>
          </w:p>
        </w:tc>
      </w:tr>
      <w:tr>
        <w:trPr>
          <w:trHeight w:val="2125" w:hRule="atLeast"/>
        </w:trPr>
        <w:tc>
          <w:tcPr>
            <w:tcW w:w="1978" w:type="dxa"/>
            <w:shd w:val="clear" w:color="auto" w:fill="F1F2F2"/>
          </w:tcPr>
          <w:p>
            <w:pPr>
              <w:pStyle w:val="TableParagraph"/>
              <w:spacing w:line="220" w:lineRule="auto" w:before="22"/>
              <w:ind w:left="80" w:right="247"/>
              <w:rPr>
                <w:sz w:val="10"/>
              </w:rPr>
            </w:pPr>
            <w:r>
              <w:rPr>
                <w:color w:val="231F20"/>
                <w:sz w:val="18"/>
              </w:rPr>
              <w:t>Youth aging out of care</w:t>
            </w:r>
            <w:r>
              <w:rPr>
                <w:color w:val="231F20"/>
                <w:position w:val="6"/>
                <w:sz w:val="10"/>
              </w:rPr>
              <w:t>9 10</w:t>
            </w:r>
          </w:p>
        </w:tc>
        <w:tc>
          <w:tcPr>
            <w:tcW w:w="2458" w:type="dxa"/>
          </w:tcPr>
          <w:p>
            <w:pPr>
              <w:pStyle w:val="TableParagraph"/>
              <w:spacing w:line="220" w:lineRule="auto" w:before="22"/>
              <w:ind w:right="438"/>
              <w:rPr>
                <w:rFonts w:ascii="Minion Pro"/>
                <w:sz w:val="18"/>
              </w:rPr>
            </w:pPr>
            <w:r>
              <w:rPr>
                <w:color w:val="231F20"/>
                <w:sz w:val="18"/>
              </w:rPr>
              <w:t>Youth will not age out during pandemic.</w:t>
            </w:r>
            <w:r>
              <w:rPr>
                <w:rFonts w:ascii="Minion Pro"/>
                <w:color w:val="231F20"/>
                <w:sz w:val="18"/>
                <w:vertAlign w:val="superscript"/>
              </w:rPr>
              <w:t>27</w:t>
            </w:r>
          </w:p>
        </w:tc>
        <w:tc>
          <w:tcPr>
            <w:tcW w:w="2458" w:type="dxa"/>
          </w:tcPr>
          <w:p>
            <w:pPr>
              <w:pStyle w:val="TableParagraph"/>
              <w:spacing w:line="220" w:lineRule="auto" w:before="22"/>
              <w:ind w:left="78" w:right="439"/>
              <w:rPr>
                <w:rFonts w:ascii="Minion Pro"/>
                <w:sz w:val="18"/>
              </w:rPr>
            </w:pPr>
            <w:r>
              <w:rPr>
                <w:color w:val="231F20"/>
                <w:sz w:val="18"/>
              </w:rPr>
              <w:t>Youth will not age out during pandemic.</w:t>
            </w:r>
            <w:r>
              <w:rPr>
                <w:rFonts w:ascii="Minion Pro"/>
                <w:color w:val="231F20"/>
                <w:sz w:val="18"/>
                <w:vertAlign w:val="superscript"/>
              </w:rPr>
              <w:t>28</w:t>
            </w:r>
          </w:p>
        </w:tc>
        <w:tc>
          <w:tcPr>
            <w:tcW w:w="2458" w:type="dxa"/>
          </w:tcPr>
          <w:p>
            <w:pPr>
              <w:pStyle w:val="TableParagraph"/>
              <w:spacing w:line="220" w:lineRule="auto" w:before="22"/>
              <w:ind w:left="78" w:right="175"/>
              <w:rPr>
                <w:sz w:val="18"/>
              </w:rPr>
            </w:pPr>
            <w:r>
              <w:rPr>
                <w:color w:val="231F20"/>
                <w:sz w:val="18"/>
              </w:rPr>
              <w:t>Funding is available to provide </w:t>
            </w:r>
            <w:r>
              <w:rPr>
                <w:color w:val="231F20"/>
                <w:spacing w:val="2"/>
                <w:sz w:val="18"/>
              </w:rPr>
              <w:t>supports </w:t>
            </w:r>
            <w:r>
              <w:rPr>
                <w:color w:val="231F20"/>
                <w:sz w:val="18"/>
              </w:rPr>
              <w:t>for current and former youth in care. In addition, youth aged 24 and older under a Support and Financial Assistance Agreement (SFAA) may receive additional </w:t>
            </w:r>
            <w:r>
              <w:rPr>
                <w:color w:val="231F20"/>
                <w:spacing w:val="2"/>
                <w:sz w:val="18"/>
              </w:rPr>
              <w:t>supports.</w:t>
            </w:r>
          </w:p>
        </w:tc>
      </w:tr>
    </w:tbl>
    <w:p>
      <w:pPr>
        <w:pStyle w:val="BodyText"/>
        <w:spacing w:before="7"/>
        <w:rPr>
          <w:sz w:val="17"/>
        </w:rPr>
      </w:pPr>
      <w:r>
        <w:rPr/>
        <w:pict>
          <v:shape style="position:absolute;margin-left:72pt;margin-top:12.9221pt;width:72pt;height:.1pt;mso-position-horizontal-relative:page;mso-position-vertical-relative:paragraph;z-index:-15725568;mso-wrap-distance-left:0;mso-wrap-distance-right:0" coordorigin="1440,258" coordsize="1440,0" path="m1440,258l2880,258e" filled="false" stroked="true" strokeweight=".75pt" strokecolor="#231f20">
            <v:path arrowok="t"/>
            <v:stroke dashstyle="solid"/>
            <w10:wrap type="topAndBottom"/>
          </v:shape>
        </w:pict>
      </w:r>
    </w:p>
    <w:p>
      <w:pPr>
        <w:pStyle w:val="ListParagraph"/>
        <w:numPr>
          <w:ilvl w:val="0"/>
          <w:numId w:val="3"/>
        </w:numPr>
        <w:tabs>
          <w:tab w:pos="819" w:val="left" w:leader="none"/>
          <w:tab w:pos="820" w:val="left" w:leader="none"/>
        </w:tabs>
        <w:spacing w:line="240" w:lineRule="auto" w:before="140" w:after="0"/>
        <w:ind w:left="820" w:right="0" w:hanging="360"/>
        <w:jc w:val="left"/>
        <w:rPr>
          <w:sz w:val="14"/>
        </w:rPr>
      </w:pPr>
      <w:hyperlink r:id="rId19">
        <w:r>
          <w:rPr>
            <w:color w:val="0562C1"/>
            <w:sz w:val="14"/>
            <w:u w:val="single" w:color="0562C1"/>
          </w:rPr>
          <w:t>https://news.gov.mb.ca/news/index.html?item=47622</w:t>
        </w:r>
      </w:hyperlink>
    </w:p>
    <w:p>
      <w:pPr>
        <w:pStyle w:val="ListParagraph"/>
        <w:numPr>
          <w:ilvl w:val="0"/>
          <w:numId w:val="3"/>
        </w:numPr>
        <w:tabs>
          <w:tab w:pos="819" w:val="left" w:leader="none"/>
          <w:tab w:pos="820" w:val="left" w:leader="none"/>
        </w:tabs>
        <w:spacing w:line="240" w:lineRule="auto" w:before="86" w:after="0"/>
        <w:ind w:left="819" w:right="0" w:hanging="360"/>
        <w:jc w:val="left"/>
        <w:rPr>
          <w:sz w:val="14"/>
        </w:rPr>
      </w:pPr>
      <w:r>
        <w:rPr>
          <w:color w:val="231F20"/>
          <w:sz w:val="14"/>
        </w:rPr>
        <w:t>Provincial</w:t>
      </w:r>
      <w:r>
        <w:rPr>
          <w:color w:val="231F20"/>
          <w:spacing w:val="-14"/>
          <w:sz w:val="14"/>
        </w:rPr>
        <w:t> </w:t>
      </w:r>
      <w:r>
        <w:rPr>
          <w:color w:val="231F20"/>
          <w:sz w:val="14"/>
        </w:rPr>
        <w:t>official</w:t>
      </w:r>
    </w:p>
    <w:p>
      <w:pPr>
        <w:pStyle w:val="ListParagraph"/>
        <w:numPr>
          <w:ilvl w:val="0"/>
          <w:numId w:val="3"/>
        </w:numPr>
        <w:tabs>
          <w:tab w:pos="819" w:val="left" w:leader="none"/>
          <w:tab w:pos="820" w:val="left" w:leader="none"/>
        </w:tabs>
        <w:spacing w:line="240" w:lineRule="auto" w:before="87" w:after="0"/>
        <w:ind w:left="819" w:right="0" w:hanging="360"/>
        <w:jc w:val="left"/>
        <w:rPr>
          <w:sz w:val="14"/>
        </w:rPr>
      </w:pPr>
      <w:r>
        <w:rPr>
          <w:color w:val="231F20"/>
          <w:sz w:val="14"/>
        </w:rPr>
        <w:t>Provincial</w:t>
      </w:r>
      <w:r>
        <w:rPr>
          <w:color w:val="231F20"/>
          <w:spacing w:val="-14"/>
          <w:sz w:val="14"/>
        </w:rPr>
        <w:t> </w:t>
      </w:r>
      <w:r>
        <w:rPr>
          <w:color w:val="231F20"/>
          <w:sz w:val="14"/>
        </w:rPr>
        <w:t>official</w:t>
      </w:r>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20">
        <w:r>
          <w:rPr>
            <w:color w:val="0562C1"/>
            <w:sz w:val="14"/>
            <w:u w:val="single" w:color="0562C1"/>
          </w:rPr>
          <w:t>https://www.alberta.ca/aish-income-support-and-the-canada-emergency-response-benefit.aspx</w:t>
        </w:r>
      </w:hyperlink>
    </w:p>
    <w:p>
      <w:pPr>
        <w:pStyle w:val="ListParagraph"/>
        <w:numPr>
          <w:ilvl w:val="0"/>
          <w:numId w:val="3"/>
        </w:numPr>
        <w:tabs>
          <w:tab w:pos="819" w:val="left" w:leader="none"/>
          <w:tab w:pos="820" w:val="left" w:leader="none"/>
        </w:tabs>
        <w:spacing w:line="240" w:lineRule="auto" w:before="86" w:after="0"/>
        <w:ind w:left="819" w:right="0" w:hanging="360"/>
        <w:jc w:val="left"/>
        <w:rPr>
          <w:sz w:val="14"/>
        </w:rPr>
      </w:pPr>
      <w:r>
        <w:rPr>
          <w:color w:val="231F20"/>
          <w:sz w:val="14"/>
        </w:rPr>
        <w:t>Provincial</w:t>
      </w:r>
      <w:r>
        <w:rPr>
          <w:color w:val="231F20"/>
          <w:spacing w:val="-1"/>
          <w:sz w:val="14"/>
        </w:rPr>
        <w:t> </w:t>
      </w:r>
      <w:r>
        <w:rPr>
          <w:color w:val="231F20"/>
          <w:sz w:val="14"/>
        </w:rPr>
        <w:t>officials</w:t>
      </w:r>
    </w:p>
    <w:p>
      <w:pPr>
        <w:pStyle w:val="ListParagraph"/>
        <w:numPr>
          <w:ilvl w:val="0"/>
          <w:numId w:val="3"/>
        </w:numPr>
        <w:tabs>
          <w:tab w:pos="819" w:val="left" w:leader="none"/>
          <w:tab w:pos="820" w:val="left" w:leader="none"/>
        </w:tabs>
        <w:spacing w:line="240" w:lineRule="auto" w:before="87" w:after="0"/>
        <w:ind w:left="819" w:right="0" w:hanging="360"/>
        <w:jc w:val="left"/>
        <w:rPr>
          <w:sz w:val="14"/>
        </w:rPr>
      </w:pPr>
      <w:r>
        <w:rPr>
          <w:color w:val="231F20"/>
          <w:sz w:val="14"/>
        </w:rPr>
        <w:t>AISH clients: single has $300 exempt then 25% of remainder ($725); family has $875 exempt then 25% of remainder ($1,156.25).</w:t>
      </w:r>
    </w:p>
    <w:p>
      <w:pPr>
        <w:pStyle w:val="ListParagraph"/>
        <w:numPr>
          <w:ilvl w:val="0"/>
          <w:numId w:val="3"/>
        </w:numPr>
        <w:tabs>
          <w:tab w:pos="819" w:val="left" w:leader="none"/>
          <w:tab w:pos="820" w:val="left" w:leader="none"/>
        </w:tabs>
        <w:spacing w:line="240" w:lineRule="auto" w:before="86" w:after="0"/>
        <w:ind w:left="819" w:right="0" w:hanging="360"/>
        <w:jc w:val="left"/>
        <w:rPr>
          <w:sz w:val="14"/>
        </w:rPr>
      </w:pPr>
      <w:r>
        <w:rPr>
          <w:color w:val="231F20"/>
          <w:sz w:val="14"/>
        </w:rPr>
        <w:t>Rapid reinstatement is in place for recipients of AISH</w:t>
      </w:r>
      <w:r>
        <w:rPr>
          <w:color w:val="231F20"/>
          <w:spacing w:val="-1"/>
          <w:sz w:val="14"/>
        </w:rPr>
        <w:t> </w:t>
      </w:r>
      <w:r>
        <w:rPr>
          <w:color w:val="231F20"/>
          <w:sz w:val="14"/>
        </w:rPr>
        <w:t>benefits.</w:t>
      </w:r>
    </w:p>
    <w:p>
      <w:pPr>
        <w:pStyle w:val="ListParagraph"/>
        <w:numPr>
          <w:ilvl w:val="0"/>
          <w:numId w:val="3"/>
        </w:numPr>
        <w:tabs>
          <w:tab w:pos="819" w:val="left" w:leader="none"/>
          <w:tab w:pos="820" w:val="left" w:leader="none"/>
        </w:tabs>
        <w:spacing w:line="240" w:lineRule="auto" w:before="87" w:after="0"/>
        <w:ind w:left="820" w:right="0" w:hanging="360"/>
        <w:jc w:val="left"/>
        <w:rPr>
          <w:sz w:val="14"/>
        </w:rPr>
      </w:pPr>
      <w:hyperlink r:id="rId21">
        <w:r>
          <w:rPr>
            <w:color w:val="0562C1"/>
            <w:sz w:val="14"/>
            <w:u w:val="single" w:color="0562C1"/>
          </w:rPr>
          <w:t>https://news.gov.mb.ca/news/index.html?item=48318&amp;posted=2020-05-26</w:t>
        </w:r>
      </w:hyperlink>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22">
        <w:r>
          <w:rPr>
            <w:color w:val="0562C1"/>
            <w:sz w:val="14"/>
            <w:u w:val="single" w:color="0562C1"/>
          </w:rPr>
          <w:t>https://aptnnews.ca/2020/04/09/manitoba-commits-to-extending-services-for-youth-aging-out-of-care-during-covid-19</w:t>
        </w:r>
        <w:r>
          <w:rPr>
            <w:color w:val="0562C1"/>
            <w:sz w:val="14"/>
          </w:rPr>
          <w:t>/</w:t>
        </w:r>
      </w:hyperlink>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23">
        <w:r>
          <w:rPr>
            <w:color w:val="0562C1"/>
            <w:sz w:val="14"/>
            <w:u w:val="single" w:color="0562C1"/>
          </w:rPr>
          <w:t>https://globalnews.ca/news/6759493/coronavirus-saskatchewan-pandemic-response-social-services</w:t>
        </w:r>
        <w:r>
          <w:rPr>
            <w:color w:val="0562C1"/>
            <w:sz w:val="14"/>
          </w:rPr>
          <w:t>/</w:t>
        </w:r>
      </w:hyperlink>
    </w:p>
    <w:p>
      <w:pPr>
        <w:spacing w:after="0" w:line="240" w:lineRule="auto"/>
        <w:jc w:val="left"/>
        <w:rPr>
          <w:sz w:val="14"/>
        </w:rPr>
        <w:sectPr>
          <w:pgSz w:w="12240" w:h="15840"/>
          <w:pgMar w:header="0" w:footer="723" w:top="1440" w:bottom="920" w:left="980" w:right="1320"/>
        </w:sectPr>
      </w:pPr>
    </w:p>
    <w:tbl>
      <w:tblPr>
        <w:tblW w:w="0" w:type="auto"/>
        <w:jc w:val="left"/>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80"/>
        <w:gridCol w:w="1918"/>
        <w:gridCol w:w="1918"/>
        <w:gridCol w:w="1918"/>
        <w:gridCol w:w="1918"/>
      </w:tblGrid>
      <w:tr>
        <w:trPr>
          <w:trHeight w:val="800" w:hRule="atLeast"/>
        </w:trPr>
        <w:tc>
          <w:tcPr>
            <w:tcW w:w="9352" w:type="dxa"/>
            <w:gridSpan w:val="5"/>
            <w:shd w:val="clear" w:color="auto" w:fill="6379A9"/>
          </w:tcPr>
          <w:p>
            <w:pPr>
              <w:pStyle w:val="TableParagraph"/>
              <w:spacing w:line="259" w:lineRule="auto" w:before="98"/>
              <w:ind w:left="2871" w:hanging="2391"/>
              <w:rPr>
                <w:rFonts w:ascii="FrutigerLTStd-Bold"/>
                <w:b/>
                <w:sz w:val="20"/>
              </w:rPr>
            </w:pPr>
            <w:r>
              <w:rPr>
                <w:rFonts w:ascii="FrutigerLTStd-Bold"/>
                <w:b/>
                <w:color w:val="FFFFFF"/>
                <w:sz w:val="20"/>
              </w:rPr>
              <w:t>CERB interactions with provincial and territorial social assistance and subsidized housing programs and youth aging out of care</w:t>
            </w:r>
          </w:p>
        </w:tc>
      </w:tr>
      <w:tr>
        <w:trPr>
          <w:trHeight w:val="309" w:hRule="atLeast"/>
        </w:trPr>
        <w:tc>
          <w:tcPr>
            <w:tcW w:w="1680" w:type="dxa"/>
            <w:shd w:val="clear" w:color="auto" w:fill="CBD0E2"/>
          </w:tcPr>
          <w:p>
            <w:pPr>
              <w:pStyle w:val="TableParagraph"/>
              <w:ind w:left="0"/>
              <w:rPr>
                <w:rFonts w:ascii="Times New Roman"/>
                <w:sz w:val="14"/>
              </w:rPr>
            </w:pPr>
          </w:p>
        </w:tc>
        <w:tc>
          <w:tcPr>
            <w:tcW w:w="1918" w:type="dxa"/>
            <w:shd w:val="clear" w:color="auto" w:fill="CBD0E2"/>
          </w:tcPr>
          <w:p>
            <w:pPr>
              <w:pStyle w:val="TableParagraph"/>
              <w:spacing w:before="4"/>
              <w:rPr>
                <w:rFonts w:ascii="Minion Pro"/>
                <w:sz w:val="13"/>
              </w:rPr>
            </w:pPr>
            <w:r>
              <w:rPr>
                <w:color w:val="231F20"/>
                <w:position w:val="-6"/>
                <w:sz w:val="20"/>
              </w:rPr>
              <w:t>BC</w:t>
            </w:r>
            <w:r>
              <w:rPr>
                <w:rFonts w:ascii="Minion Pro"/>
                <w:color w:val="231F20"/>
                <w:sz w:val="13"/>
              </w:rPr>
              <w:t>29 30 31 32</w:t>
            </w:r>
          </w:p>
        </w:tc>
        <w:tc>
          <w:tcPr>
            <w:tcW w:w="1918" w:type="dxa"/>
            <w:shd w:val="clear" w:color="auto" w:fill="CBD0E2"/>
          </w:tcPr>
          <w:p>
            <w:pPr>
              <w:pStyle w:val="TableParagraph"/>
              <w:spacing w:before="8"/>
              <w:rPr>
                <w:rFonts w:ascii="Minion Pro"/>
                <w:sz w:val="20"/>
              </w:rPr>
            </w:pPr>
            <w:r>
              <w:rPr>
                <w:color w:val="231F20"/>
                <w:w w:val="105"/>
                <w:sz w:val="20"/>
              </w:rPr>
              <w:t>Yukon</w:t>
            </w:r>
            <w:r>
              <w:rPr>
                <w:rFonts w:ascii="Minion Pro"/>
                <w:color w:val="231F20"/>
                <w:w w:val="105"/>
                <w:sz w:val="20"/>
                <w:vertAlign w:val="superscript"/>
              </w:rPr>
              <w:t>33</w:t>
            </w:r>
            <w:r>
              <w:rPr>
                <w:rFonts w:ascii="Minion Pro"/>
                <w:color w:val="231F20"/>
                <w:w w:val="105"/>
                <w:sz w:val="20"/>
                <w:vertAlign w:val="baseline"/>
              </w:rPr>
              <w:t> </w:t>
            </w:r>
            <w:r>
              <w:rPr>
                <w:rFonts w:ascii="Minion Pro"/>
                <w:color w:val="231F20"/>
                <w:w w:val="105"/>
                <w:sz w:val="20"/>
                <w:vertAlign w:val="superscript"/>
              </w:rPr>
              <w:t>34</w:t>
            </w:r>
          </w:p>
        </w:tc>
        <w:tc>
          <w:tcPr>
            <w:tcW w:w="1918" w:type="dxa"/>
            <w:shd w:val="clear" w:color="auto" w:fill="CBD0E2"/>
          </w:tcPr>
          <w:p>
            <w:pPr>
              <w:pStyle w:val="TableParagraph"/>
              <w:spacing w:before="4"/>
              <w:ind w:left="78"/>
              <w:rPr>
                <w:rFonts w:ascii="Minion Pro"/>
                <w:sz w:val="13"/>
              </w:rPr>
            </w:pPr>
            <w:r>
              <w:rPr>
                <w:color w:val="231F20"/>
                <w:position w:val="-6"/>
                <w:sz w:val="20"/>
              </w:rPr>
              <w:t>NWT</w:t>
            </w:r>
            <w:r>
              <w:rPr>
                <w:rFonts w:ascii="Minion Pro"/>
                <w:color w:val="231F20"/>
                <w:sz w:val="13"/>
              </w:rPr>
              <w:t>35 36</w:t>
            </w:r>
          </w:p>
        </w:tc>
        <w:tc>
          <w:tcPr>
            <w:tcW w:w="1918" w:type="dxa"/>
            <w:shd w:val="clear" w:color="auto" w:fill="CBD0E2"/>
          </w:tcPr>
          <w:p>
            <w:pPr>
              <w:pStyle w:val="TableParagraph"/>
              <w:spacing w:before="8"/>
              <w:ind w:left="78"/>
              <w:rPr>
                <w:rFonts w:ascii="Minion Pro"/>
                <w:sz w:val="20"/>
              </w:rPr>
            </w:pPr>
            <w:r>
              <w:rPr>
                <w:color w:val="231F20"/>
                <w:sz w:val="20"/>
              </w:rPr>
              <w:t>Nunavut</w:t>
            </w:r>
            <w:r>
              <w:rPr>
                <w:rFonts w:ascii="Minion Pro"/>
                <w:color w:val="231F20"/>
                <w:sz w:val="20"/>
                <w:vertAlign w:val="superscript"/>
              </w:rPr>
              <w:t>37</w:t>
            </w:r>
          </w:p>
        </w:tc>
      </w:tr>
      <w:tr>
        <w:trPr>
          <w:trHeight w:val="1410" w:hRule="atLeast"/>
        </w:trPr>
        <w:tc>
          <w:tcPr>
            <w:tcW w:w="1680" w:type="dxa"/>
            <w:shd w:val="clear" w:color="auto" w:fill="F1F2F2"/>
          </w:tcPr>
          <w:p>
            <w:pPr>
              <w:pStyle w:val="TableParagraph"/>
              <w:spacing w:line="206" w:lineRule="auto" w:before="39"/>
              <w:ind w:left="80" w:right="156"/>
              <w:rPr>
                <w:sz w:val="16"/>
              </w:rPr>
            </w:pPr>
            <w:r>
              <w:rPr>
                <w:color w:val="231F20"/>
                <w:sz w:val="16"/>
              </w:rPr>
              <w:t>Treatment of CERB for SA calculation</w:t>
            </w:r>
          </w:p>
        </w:tc>
        <w:tc>
          <w:tcPr>
            <w:tcW w:w="1918" w:type="dxa"/>
          </w:tcPr>
          <w:p>
            <w:pPr>
              <w:pStyle w:val="TableParagraph"/>
              <w:spacing w:line="206" w:lineRule="auto" w:before="39"/>
              <w:ind w:right="35"/>
              <w:rPr>
                <w:sz w:val="16"/>
              </w:rPr>
            </w:pPr>
            <w:r>
              <w:rPr>
                <w:color w:val="231F20"/>
                <w:sz w:val="16"/>
              </w:rPr>
              <w:t>Fully exempt for those in receipt of SA as of April 2, 2020. It was originally exempt for three months only, but has been extended for the duration of CERB.</w:t>
            </w:r>
          </w:p>
        </w:tc>
        <w:tc>
          <w:tcPr>
            <w:tcW w:w="1918" w:type="dxa"/>
          </w:tcPr>
          <w:p>
            <w:pPr>
              <w:pStyle w:val="TableParagraph"/>
              <w:spacing w:before="13"/>
              <w:rPr>
                <w:sz w:val="16"/>
              </w:rPr>
            </w:pPr>
            <w:r>
              <w:rPr>
                <w:color w:val="231F20"/>
                <w:sz w:val="16"/>
              </w:rPr>
              <w:t>Fully exempt</w:t>
            </w:r>
          </w:p>
        </w:tc>
        <w:tc>
          <w:tcPr>
            <w:tcW w:w="1918" w:type="dxa"/>
          </w:tcPr>
          <w:p>
            <w:pPr>
              <w:pStyle w:val="TableParagraph"/>
              <w:spacing w:before="13"/>
              <w:ind w:left="78"/>
              <w:rPr>
                <w:sz w:val="16"/>
              </w:rPr>
            </w:pPr>
            <w:r>
              <w:rPr>
                <w:color w:val="231F20"/>
                <w:sz w:val="16"/>
              </w:rPr>
              <w:t>Fully exempt</w:t>
            </w:r>
          </w:p>
        </w:tc>
        <w:tc>
          <w:tcPr>
            <w:tcW w:w="1918" w:type="dxa"/>
          </w:tcPr>
          <w:p>
            <w:pPr>
              <w:pStyle w:val="TableParagraph"/>
              <w:spacing w:line="206" w:lineRule="auto" w:before="39"/>
              <w:ind w:left="78"/>
              <w:rPr>
                <w:sz w:val="16"/>
              </w:rPr>
            </w:pPr>
            <w:r>
              <w:rPr>
                <w:color w:val="231F20"/>
                <w:sz w:val="16"/>
              </w:rPr>
              <w:t>Full clawback, treated like EI.</w:t>
            </w:r>
          </w:p>
        </w:tc>
      </w:tr>
      <w:tr>
        <w:trPr>
          <w:trHeight w:val="460" w:hRule="atLeast"/>
        </w:trPr>
        <w:tc>
          <w:tcPr>
            <w:tcW w:w="1680" w:type="dxa"/>
            <w:shd w:val="clear" w:color="auto" w:fill="F1F2F2"/>
          </w:tcPr>
          <w:p>
            <w:pPr>
              <w:pStyle w:val="TableParagraph"/>
              <w:spacing w:line="206" w:lineRule="auto" w:before="39"/>
              <w:ind w:left="80" w:right="289"/>
              <w:rPr>
                <w:sz w:val="16"/>
              </w:rPr>
            </w:pPr>
            <w:r>
              <w:rPr>
                <w:color w:val="231F20"/>
                <w:sz w:val="16"/>
              </w:rPr>
              <w:t>Will people lose eligibility for SA?</w:t>
            </w:r>
          </w:p>
        </w:tc>
        <w:tc>
          <w:tcPr>
            <w:tcW w:w="1918" w:type="dxa"/>
          </w:tcPr>
          <w:p>
            <w:pPr>
              <w:pStyle w:val="TableParagraph"/>
              <w:spacing w:before="13"/>
              <w:rPr>
                <w:sz w:val="16"/>
              </w:rPr>
            </w:pPr>
            <w:r>
              <w:rPr>
                <w:color w:val="231F20"/>
                <w:sz w:val="16"/>
              </w:rPr>
              <w:t>no</w:t>
            </w:r>
          </w:p>
        </w:tc>
        <w:tc>
          <w:tcPr>
            <w:tcW w:w="1918" w:type="dxa"/>
          </w:tcPr>
          <w:p>
            <w:pPr>
              <w:pStyle w:val="TableParagraph"/>
              <w:spacing w:before="13"/>
              <w:ind w:left="123"/>
              <w:rPr>
                <w:sz w:val="16"/>
              </w:rPr>
            </w:pPr>
            <w:r>
              <w:rPr>
                <w:color w:val="231F20"/>
                <w:sz w:val="16"/>
              </w:rPr>
              <w:t>no</w:t>
            </w:r>
          </w:p>
        </w:tc>
        <w:tc>
          <w:tcPr>
            <w:tcW w:w="1918" w:type="dxa"/>
          </w:tcPr>
          <w:p>
            <w:pPr>
              <w:pStyle w:val="TableParagraph"/>
              <w:spacing w:before="13"/>
              <w:ind w:left="123"/>
              <w:rPr>
                <w:sz w:val="16"/>
              </w:rPr>
            </w:pPr>
            <w:r>
              <w:rPr>
                <w:color w:val="231F20"/>
                <w:sz w:val="16"/>
              </w:rPr>
              <w:t>no</w:t>
            </w:r>
          </w:p>
        </w:tc>
        <w:tc>
          <w:tcPr>
            <w:tcW w:w="1918" w:type="dxa"/>
          </w:tcPr>
          <w:p>
            <w:pPr>
              <w:pStyle w:val="TableParagraph"/>
              <w:spacing w:before="13"/>
              <w:ind w:left="122"/>
              <w:rPr>
                <w:sz w:val="16"/>
              </w:rPr>
            </w:pPr>
            <w:r>
              <w:rPr>
                <w:color w:val="231F20"/>
                <w:sz w:val="16"/>
              </w:rPr>
              <w:t>yes</w:t>
            </w:r>
          </w:p>
        </w:tc>
      </w:tr>
      <w:tr>
        <w:trPr>
          <w:trHeight w:val="650" w:hRule="atLeast"/>
        </w:trPr>
        <w:tc>
          <w:tcPr>
            <w:tcW w:w="1680" w:type="dxa"/>
            <w:shd w:val="clear" w:color="auto" w:fill="F1F2F2"/>
          </w:tcPr>
          <w:p>
            <w:pPr>
              <w:pStyle w:val="TableParagraph"/>
              <w:spacing w:line="206" w:lineRule="auto" w:before="39"/>
              <w:ind w:left="80" w:right="156"/>
              <w:rPr>
                <w:sz w:val="16"/>
              </w:rPr>
            </w:pPr>
            <w:r>
              <w:rPr>
                <w:color w:val="231F20"/>
                <w:sz w:val="16"/>
              </w:rPr>
              <w:t>Are SA savings being reinvested?</w:t>
            </w:r>
          </w:p>
        </w:tc>
        <w:tc>
          <w:tcPr>
            <w:tcW w:w="1918" w:type="dxa"/>
          </w:tcPr>
          <w:p>
            <w:pPr>
              <w:pStyle w:val="TableParagraph"/>
              <w:spacing w:line="206" w:lineRule="auto" w:before="39"/>
              <w:ind w:right="670"/>
              <w:rPr>
                <w:sz w:val="16"/>
              </w:rPr>
            </w:pPr>
            <w:r>
              <w:rPr>
                <w:color w:val="231F20"/>
                <w:sz w:val="16"/>
              </w:rPr>
              <w:t>No savings – all exempt.</w:t>
            </w:r>
          </w:p>
        </w:tc>
        <w:tc>
          <w:tcPr>
            <w:tcW w:w="1918" w:type="dxa"/>
          </w:tcPr>
          <w:p>
            <w:pPr>
              <w:pStyle w:val="TableParagraph"/>
              <w:spacing w:line="206" w:lineRule="auto" w:before="39"/>
              <w:ind w:right="670"/>
              <w:rPr>
                <w:sz w:val="16"/>
              </w:rPr>
            </w:pPr>
            <w:r>
              <w:rPr>
                <w:color w:val="231F20"/>
                <w:sz w:val="16"/>
              </w:rPr>
              <w:t>No savings – all exempt.</w:t>
            </w:r>
          </w:p>
        </w:tc>
        <w:tc>
          <w:tcPr>
            <w:tcW w:w="1918" w:type="dxa"/>
          </w:tcPr>
          <w:p>
            <w:pPr>
              <w:pStyle w:val="TableParagraph"/>
              <w:spacing w:line="206" w:lineRule="auto" w:before="39"/>
              <w:ind w:left="78" w:right="670"/>
              <w:rPr>
                <w:sz w:val="16"/>
              </w:rPr>
            </w:pPr>
            <w:r>
              <w:rPr>
                <w:color w:val="231F20"/>
                <w:sz w:val="16"/>
              </w:rPr>
              <w:t>No savings – all exempt.</w:t>
            </w:r>
          </w:p>
        </w:tc>
        <w:tc>
          <w:tcPr>
            <w:tcW w:w="1918" w:type="dxa"/>
          </w:tcPr>
          <w:p>
            <w:pPr>
              <w:pStyle w:val="TableParagraph"/>
              <w:spacing w:line="206" w:lineRule="auto" w:before="39"/>
              <w:ind w:left="78" w:right="178"/>
              <w:rPr>
                <w:sz w:val="16"/>
              </w:rPr>
            </w:pPr>
            <w:r>
              <w:rPr>
                <w:color w:val="231F20"/>
                <w:sz w:val="16"/>
              </w:rPr>
              <w:t>Any savings will be put back into IA programming.</w:t>
            </w:r>
          </w:p>
        </w:tc>
      </w:tr>
      <w:tr>
        <w:trPr>
          <w:trHeight w:val="235" w:hRule="atLeast"/>
        </w:trPr>
        <w:tc>
          <w:tcPr>
            <w:tcW w:w="1680" w:type="dxa"/>
            <w:tcBorders>
              <w:bottom w:val="nil"/>
            </w:tcBorders>
            <w:shd w:val="clear" w:color="auto" w:fill="F1F2F2"/>
          </w:tcPr>
          <w:p>
            <w:pPr>
              <w:pStyle w:val="TableParagraph"/>
              <w:spacing w:line="202" w:lineRule="exact" w:before="13"/>
              <w:ind w:left="80"/>
              <w:rPr>
                <w:sz w:val="16"/>
              </w:rPr>
            </w:pPr>
            <w:r>
              <w:rPr>
                <w:color w:val="231F20"/>
                <w:sz w:val="16"/>
              </w:rPr>
              <w:t>Impact on</w:t>
            </w:r>
          </w:p>
        </w:tc>
        <w:tc>
          <w:tcPr>
            <w:tcW w:w="1918" w:type="dxa"/>
            <w:tcBorders>
              <w:bottom w:val="nil"/>
            </w:tcBorders>
          </w:tcPr>
          <w:p>
            <w:pPr>
              <w:pStyle w:val="TableParagraph"/>
              <w:spacing w:line="202" w:lineRule="exact" w:before="13"/>
              <w:rPr>
                <w:sz w:val="16"/>
              </w:rPr>
            </w:pPr>
            <w:r>
              <w:rPr>
                <w:color w:val="231F20"/>
                <w:sz w:val="16"/>
              </w:rPr>
              <w:t>BC Housing treats the</w:t>
            </w:r>
          </w:p>
        </w:tc>
        <w:tc>
          <w:tcPr>
            <w:tcW w:w="1918" w:type="dxa"/>
            <w:tcBorders>
              <w:bottom w:val="nil"/>
            </w:tcBorders>
          </w:tcPr>
          <w:p>
            <w:pPr>
              <w:pStyle w:val="TableParagraph"/>
              <w:spacing w:line="202" w:lineRule="exact" w:before="13"/>
              <w:rPr>
                <w:sz w:val="16"/>
              </w:rPr>
            </w:pPr>
            <w:r>
              <w:rPr>
                <w:color w:val="231F20"/>
                <w:sz w:val="16"/>
              </w:rPr>
              <w:t>CERB will not increase</w:t>
            </w:r>
          </w:p>
        </w:tc>
        <w:tc>
          <w:tcPr>
            <w:tcW w:w="1918" w:type="dxa"/>
            <w:tcBorders>
              <w:bottom w:val="nil"/>
            </w:tcBorders>
          </w:tcPr>
          <w:p>
            <w:pPr>
              <w:pStyle w:val="TableParagraph"/>
              <w:spacing w:line="202" w:lineRule="exact" w:before="13"/>
              <w:ind w:left="78"/>
              <w:rPr>
                <w:sz w:val="16"/>
              </w:rPr>
            </w:pPr>
            <w:r>
              <w:rPr>
                <w:color w:val="231F20"/>
                <w:sz w:val="16"/>
              </w:rPr>
              <w:t>Currently unknown</w:t>
            </w:r>
          </w:p>
        </w:tc>
        <w:tc>
          <w:tcPr>
            <w:tcW w:w="1918" w:type="dxa"/>
            <w:tcBorders>
              <w:bottom w:val="nil"/>
            </w:tcBorders>
          </w:tcPr>
          <w:p>
            <w:pPr>
              <w:pStyle w:val="TableParagraph"/>
              <w:spacing w:line="202" w:lineRule="exact" w:before="13"/>
              <w:ind w:left="78"/>
              <w:rPr>
                <w:sz w:val="16"/>
              </w:rPr>
            </w:pPr>
            <w:r>
              <w:rPr>
                <w:color w:val="231F20"/>
                <w:sz w:val="16"/>
              </w:rPr>
              <w:t>No impact for most</w:t>
            </w:r>
          </w:p>
        </w:tc>
      </w:tr>
      <w:tr>
        <w:trPr>
          <w:trHeight w:val="190" w:hRule="atLeast"/>
        </w:trPr>
        <w:tc>
          <w:tcPr>
            <w:tcW w:w="1680" w:type="dxa"/>
            <w:tcBorders>
              <w:top w:val="nil"/>
              <w:bottom w:val="nil"/>
            </w:tcBorders>
            <w:shd w:val="clear" w:color="auto" w:fill="F1F2F2"/>
          </w:tcPr>
          <w:p>
            <w:pPr>
              <w:pStyle w:val="TableParagraph"/>
              <w:spacing w:line="170" w:lineRule="exact"/>
              <w:ind w:left="80"/>
              <w:rPr>
                <w:sz w:val="16"/>
              </w:rPr>
            </w:pPr>
            <w:r>
              <w:rPr>
                <w:color w:val="231F20"/>
                <w:sz w:val="16"/>
              </w:rPr>
              <w:t>subsidized housing</w:t>
            </w:r>
          </w:p>
        </w:tc>
        <w:tc>
          <w:tcPr>
            <w:tcW w:w="1918" w:type="dxa"/>
            <w:tcBorders>
              <w:top w:val="nil"/>
              <w:bottom w:val="nil"/>
            </w:tcBorders>
          </w:tcPr>
          <w:p>
            <w:pPr>
              <w:pStyle w:val="TableParagraph"/>
              <w:spacing w:line="170" w:lineRule="exact"/>
              <w:rPr>
                <w:sz w:val="16"/>
              </w:rPr>
            </w:pPr>
            <w:r>
              <w:rPr>
                <w:color w:val="231F20"/>
                <w:sz w:val="16"/>
              </w:rPr>
              <w:t>CERB as income and it</w:t>
            </w:r>
          </w:p>
        </w:tc>
        <w:tc>
          <w:tcPr>
            <w:tcW w:w="1918" w:type="dxa"/>
            <w:tcBorders>
              <w:top w:val="nil"/>
              <w:bottom w:val="nil"/>
            </w:tcBorders>
          </w:tcPr>
          <w:p>
            <w:pPr>
              <w:pStyle w:val="TableParagraph"/>
              <w:spacing w:line="170" w:lineRule="exact"/>
              <w:rPr>
                <w:sz w:val="16"/>
              </w:rPr>
            </w:pPr>
            <w:r>
              <w:rPr>
                <w:color w:val="231F20"/>
                <w:sz w:val="16"/>
              </w:rPr>
              <w:t>rents in the short</w:t>
            </w: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ind w:left="78"/>
              <w:rPr>
                <w:sz w:val="16"/>
              </w:rPr>
            </w:pPr>
            <w:r>
              <w:rPr>
                <w:color w:val="231F20"/>
                <w:sz w:val="16"/>
              </w:rPr>
              <w:t>IA clients as rents</w:t>
            </w:r>
          </w:p>
        </w:tc>
      </w:tr>
      <w:tr>
        <w:trPr>
          <w:trHeight w:val="190" w:hRule="atLeast"/>
        </w:trPr>
        <w:tc>
          <w:tcPr>
            <w:tcW w:w="1680" w:type="dxa"/>
            <w:tcBorders>
              <w:top w:val="nil"/>
              <w:bottom w:val="nil"/>
            </w:tcBorders>
            <w:shd w:val="clear" w:color="auto" w:fill="F1F2F2"/>
          </w:tcPr>
          <w:p>
            <w:pPr>
              <w:pStyle w:val="TableParagraph"/>
              <w:ind w:left="0"/>
              <w:rPr>
                <w:rFonts w:ascii="Times New Roman"/>
                <w:sz w:val="12"/>
              </w:rPr>
            </w:pPr>
          </w:p>
        </w:tc>
        <w:tc>
          <w:tcPr>
            <w:tcW w:w="1918" w:type="dxa"/>
            <w:tcBorders>
              <w:top w:val="nil"/>
              <w:bottom w:val="nil"/>
            </w:tcBorders>
          </w:tcPr>
          <w:p>
            <w:pPr>
              <w:pStyle w:val="TableParagraph"/>
              <w:spacing w:line="170" w:lineRule="exact"/>
              <w:rPr>
                <w:sz w:val="16"/>
              </w:rPr>
            </w:pPr>
            <w:r>
              <w:rPr>
                <w:color w:val="231F20"/>
                <w:sz w:val="16"/>
              </w:rPr>
              <w:t>is factored into all RGI</w:t>
            </w:r>
          </w:p>
        </w:tc>
        <w:tc>
          <w:tcPr>
            <w:tcW w:w="1918" w:type="dxa"/>
            <w:tcBorders>
              <w:top w:val="nil"/>
              <w:bottom w:val="nil"/>
            </w:tcBorders>
          </w:tcPr>
          <w:p>
            <w:pPr>
              <w:pStyle w:val="TableParagraph"/>
              <w:spacing w:line="170" w:lineRule="exact"/>
              <w:rPr>
                <w:sz w:val="16"/>
              </w:rPr>
            </w:pPr>
            <w:r>
              <w:rPr>
                <w:color w:val="231F20"/>
                <w:sz w:val="16"/>
              </w:rPr>
              <w:t>term (rents are</w:t>
            </w: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ind w:left="78"/>
              <w:rPr>
                <w:sz w:val="16"/>
              </w:rPr>
            </w:pPr>
            <w:r>
              <w:rPr>
                <w:color w:val="231F20"/>
                <w:sz w:val="16"/>
              </w:rPr>
              <w:t>evaluated annually.</w:t>
            </w:r>
          </w:p>
        </w:tc>
      </w:tr>
      <w:tr>
        <w:trPr>
          <w:trHeight w:val="190" w:hRule="atLeast"/>
        </w:trPr>
        <w:tc>
          <w:tcPr>
            <w:tcW w:w="1680" w:type="dxa"/>
            <w:tcBorders>
              <w:top w:val="nil"/>
              <w:bottom w:val="nil"/>
            </w:tcBorders>
            <w:shd w:val="clear" w:color="auto" w:fill="F1F2F2"/>
          </w:tcPr>
          <w:p>
            <w:pPr>
              <w:pStyle w:val="TableParagraph"/>
              <w:ind w:left="0"/>
              <w:rPr>
                <w:rFonts w:ascii="Times New Roman"/>
                <w:sz w:val="12"/>
              </w:rPr>
            </w:pPr>
          </w:p>
        </w:tc>
        <w:tc>
          <w:tcPr>
            <w:tcW w:w="1918" w:type="dxa"/>
            <w:tcBorders>
              <w:top w:val="nil"/>
              <w:bottom w:val="nil"/>
            </w:tcBorders>
          </w:tcPr>
          <w:p>
            <w:pPr>
              <w:pStyle w:val="TableParagraph"/>
              <w:spacing w:line="170" w:lineRule="exact"/>
              <w:rPr>
                <w:sz w:val="16"/>
              </w:rPr>
            </w:pPr>
            <w:r>
              <w:rPr>
                <w:color w:val="231F20"/>
                <w:sz w:val="16"/>
              </w:rPr>
              <w:t>calculations.</w:t>
            </w:r>
          </w:p>
        </w:tc>
        <w:tc>
          <w:tcPr>
            <w:tcW w:w="1918" w:type="dxa"/>
            <w:tcBorders>
              <w:top w:val="nil"/>
              <w:bottom w:val="nil"/>
            </w:tcBorders>
          </w:tcPr>
          <w:p>
            <w:pPr>
              <w:pStyle w:val="TableParagraph"/>
              <w:spacing w:line="170" w:lineRule="exact"/>
              <w:rPr>
                <w:sz w:val="16"/>
              </w:rPr>
            </w:pPr>
            <w:r>
              <w:rPr>
                <w:color w:val="231F20"/>
                <w:sz w:val="16"/>
              </w:rPr>
              <w:t>based on previous</w:t>
            </w: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ind w:left="78"/>
              <w:rPr>
                <w:sz w:val="16"/>
              </w:rPr>
            </w:pPr>
            <w:r>
              <w:rPr>
                <w:color w:val="231F20"/>
                <w:sz w:val="16"/>
              </w:rPr>
              <w:t>All IA clients are</w:t>
            </w:r>
          </w:p>
        </w:tc>
      </w:tr>
      <w:tr>
        <w:trPr>
          <w:trHeight w:val="190" w:hRule="atLeast"/>
        </w:trPr>
        <w:tc>
          <w:tcPr>
            <w:tcW w:w="1680" w:type="dxa"/>
            <w:tcBorders>
              <w:top w:val="nil"/>
              <w:bottom w:val="nil"/>
            </w:tcBorders>
            <w:shd w:val="clear" w:color="auto" w:fill="F1F2F2"/>
          </w:tcPr>
          <w:p>
            <w:pPr>
              <w:pStyle w:val="TableParagraph"/>
              <w:ind w:left="0"/>
              <w:rPr>
                <w:rFonts w:ascii="Times New Roman"/>
                <w:sz w:val="12"/>
              </w:rPr>
            </w:pP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rPr>
                <w:sz w:val="16"/>
              </w:rPr>
            </w:pPr>
            <w:r>
              <w:rPr>
                <w:color w:val="231F20"/>
                <w:sz w:val="16"/>
              </w:rPr>
              <w:t>year’s income). No</w:t>
            </w: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ind w:left="78"/>
              <w:rPr>
                <w:sz w:val="16"/>
              </w:rPr>
            </w:pPr>
            <w:r>
              <w:rPr>
                <w:color w:val="231F20"/>
                <w:sz w:val="16"/>
              </w:rPr>
              <w:t>moved to lowest rent</w:t>
            </w:r>
          </w:p>
        </w:tc>
      </w:tr>
      <w:tr>
        <w:trPr>
          <w:trHeight w:val="190" w:hRule="atLeast"/>
        </w:trPr>
        <w:tc>
          <w:tcPr>
            <w:tcW w:w="1680" w:type="dxa"/>
            <w:tcBorders>
              <w:top w:val="nil"/>
              <w:bottom w:val="nil"/>
            </w:tcBorders>
            <w:shd w:val="clear" w:color="auto" w:fill="F1F2F2"/>
          </w:tcPr>
          <w:p>
            <w:pPr>
              <w:pStyle w:val="TableParagraph"/>
              <w:ind w:left="0"/>
              <w:rPr>
                <w:rFonts w:ascii="Times New Roman"/>
                <w:sz w:val="12"/>
              </w:rPr>
            </w:pP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rPr>
                <w:sz w:val="16"/>
              </w:rPr>
            </w:pPr>
            <w:r>
              <w:rPr>
                <w:color w:val="231F20"/>
                <w:sz w:val="16"/>
              </w:rPr>
              <w:t>decision yet on how</w:t>
            </w: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ind w:left="78"/>
              <w:rPr>
                <w:sz w:val="16"/>
              </w:rPr>
            </w:pPr>
            <w:r>
              <w:rPr>
                <w:color w:val="231F20"/>
                <w:sz w:val="16"/>
              </w:rPr>
              <w:t>bracket.</w:t>
            </w:r>
          </w:p>
        </w:tc>
      </w:tr>
      <w:tr>
        <w:trPr>
          <w:trHeight w:val="190" w:hRule="atLeast"/>
        </w:trPr>
        <w:tc>
          <w:tcPr>
            <w:tcW w:w="1680" w:type="dxa"/>
            <w:tcBorders>
              <w:top w:val="nil"/>
              <w:bottom w:val="nil"/>
            </w:tcBorders>
            <w:shd w:val="clear" w:color="auto" w:fill="F1F2F2"/>
          </w:tcPr>
          <w:p>
            <w:pPr>
              <w:pStyle w:val="TableParagraph"/>
              <w:ind w:left="0"/>
              <w:rPr>
                <w:rFonts w:ascii="Times New Roman"/>
                <w:sz w:val="12"/>
              </w:rPr>
            </w:pP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rPr>
                <w:sz w:val="16"/>
              </w:rPr>
            </w:pPr>
            <w:r>
              <w:rPr>
                <w:color w:val="231F20"/>
                <w:sz w:val="16"/>
              </w:rPr>
              <w:t>the CERB will affect</w:t>
            </w: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ind w:left="0"/>
              <w:rPr>
                <w:rFonts w:ascii="Times New Roman"/>
                <w:sz w:val="12"/>
              </w:rPr>
            </w:pPr>
          </w:p>
        </w:tc>
      </w:tr>
      <w:tr>
        <w:trPr>
          <w:trHeight w:val="190" w:hRule="atLeast"/>
        </w:trPr>
        <w:tc>
          <w:tcPr>
            <w:tcW w:w="1680" w:type="dxa"/>
            <w:tcBorders>
              <w:top w:val="nil"/>
              <w:bottom w:val="nil"/>
            </w:tcBorders>
            <w:shd w:val="clear" w:color="auto" w:fill="F1F2F2"/>
          </w:tcPr>
          <w:p>
            <w:pPr>
              <w:pStyle w:val="TableParagraph"/>
              <w:ind w:left="0"/>
              <w:rPr>
                <w:rFonts w:ascii="Times New Roman"/>
                <w:sz w:val="12"/>
              </w:rPr>
            </w:pP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rPr>
                <w:sz w:val="16"/>
              </w:rPr>
            </w:pPr>
            <w:r>
              <w:rPr>
                <w:color w:val="231F20"/>
                <w:sz w:val="16"/>
              </w:rPr>
              <w:t>future eligibility for</w:t>
            </w: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ind w:left="0"/>
              <w:rPr>
                <w:rFonts w:ascii="Times New Roman"/>
                <w:sz w:val="12"/>
              </w:rPr>
            </w:pPr>
          </w:p>
        </w:tc>
      </w:tr>
      <w:tr>
        <w:trPr>
          <w:trHeight w:val="224" w:hRule="atLeast"/>
        </w:trPr>
        <w:tc>
          <w:tcPr>
            <w:tcW w:w="1680" w:type="dxa"/>
            <w:tcBorders>
              <w:top w:val="nil"/>
            </w:tcBorders>
            <w:shd w:val="clear" w:color="auto" w:fill="F1F2F2"/>
          </w:tcPr>
          <w:p>
            <w:pPr>
              <w:pStyle w:val="TableParagraph"/>
              <w:ind w:left="0"/>
              <w:rPr>
                <w:rFonts w:ascii="Times New Roman"/>
                <w:sz w:val="14"/>
              </w:rPr>
            </w:pPr>
          </w:p>
        </w:tc>
        <w:tc>
          <w:tcPr>
            <w:tcW w:w="1918" w:type="dxa"/>
            <w:tcBorders>
              <w:top w:val="nil"/>
            </w:tcBorders>
          </w:tcPr>
          <w:p>
            <w:pPr>
              <w:pStyle w:val="TableParagraph"/>
              <w:ind w:left="0"/>
              <w:rPr>
                <w:rFonts w:ascii="Times New Roman"/>
                <w:sz w:val="14"/>
              </w:rPr>
            </w:pPr>
          </w:p>
        </w:tc>
        <w:tc>
          <w:tcPr>
            <w:tcW w:w="1918" w:type="dxa"/>
            <w:tcBorders>
              <w:top w:val="nil"/>
            </w:tcBorders>
          </w:tcPr>
          <w:p>
            <w:pPr>
              <w:pStyle w:val="TableParagraph"/>
              <w:spacing w:line="190" w:lineRule="exact"/>
              <w:rPr>
                <w:sz w:val="16"/>
              </w:rPr>
            </w:pPr>
            <w:r>
              <w:rPr>
                <w:color w:val="231F20"/>
                <w:sz w:val="16"/>
              </w:rPr>
              <w:t>subsidized housing.</w:t>
            </w:r>
          </w:p>
        </w:tc>
        <w:tc>
          <w:tcPr>
            <w:tcW w:w="1918" w:type="dxa"/>
            <w:tcBorders>
              <w:top w:val="nil"/>
            </w:tcBorders>
          </w:tcPr>
          <w:p>
            <w:pPr>
              <w:pStyle w:val="TableParagraph"/>
              <w:ind w:left="0"/>
              <w:rPr>
                <w:rFonts w:ascii="Times New Roman"/>
                <w:sz w:val="14"/>
              </w:rPr>
            </w:pPr>
          </w:p>
        </w:tc>
        <w:tc>
          <w:tcPr>
            <w:tcW w:w="1918" w:type="dxa"/>
            <w:tcBorders>
              <w:top w:val="nil"/>
            </w:tcBorders>
          </w:tcPr>
          <w:p>
            <w:pPr>
              <w:pStyle w:val="TableParagraph"/>
              <w:ind w:left="0"/>
              <w:rPr>
                <w:rFonts w:ascii="Times New Roman"/>
                <w:sz w:val="14"/>
              </w:rPr>
            </w:pPr>
          </w:p>
        </w:tc>
      </w:tr>
      <w:tr>
        <w:trPr>
          <w:trHeight w:val="1785" w:hRule="atLeast"/>
        </w:trPr>
        <w:tc>
          <w:tcPr>
            <w:tcW w:w="1680" w:type="dxa"/>
            <w:tcBorders>
              <w:bottom w:val="nil"/>
            </w:tcBorders>
            <w:shd w:val="clear" w:color="auto" w:fill="F1F2F2"/>
          </w:tcPr>
          <w:p>
            <w:pPr>
              <w:pStyle w:val="TableParagraph"/>
              <w:spacing w:line="206" w:lineRule="auto" w:before="39"/>
              <w:ind w:left="80" w:right="123"/>
              <w:rPr>
                <w:sz w:val="16"/>
              </w:rPr>
            </w:pPr>
            <w:r>
              <w:rPr>
                <w:color w:val="231F20"/>
                <w:sz w:val="16"/>
              </w:rPr>
              <w:t>Extra benefits being paid to SA cases due to COVID</w:t>
            </w:r>
          </w:p>
        </w:tc>
        <w:tc>
          <w:tcPr>
            <w:tcW w:w="1918" w:type="dxa"/>
            <w:tcBorders>
              <w:bottom w:val="nil"/>
            </w:tcBorders>
          </w:tcPr>
          <w:p>
            <w:pPr>
              <w:pStyle w:val="TableParagraph"/>
              <w:spacing w:line="206" w:lineRule="auto" w:before="39"/>
              <w:ind w:right="137"/>
              <w:rPr>
                <w:sz w:val="16"/>
              </w:rPr>
            </w:pPr>
            <w:r>
              <w:rPr>
                <w:color w:val="231F20"/>
                <w:sz w:val="16"/>
              </w:rPr>
              <w:t>For the benefit month of May until the end of CERB payments, an extra $300 COVID-19 Crisis Supplement for Income Assistance and Disability Assistance recipients not getting the CERB or EI.</w:t>
            </w:r>
          </w:p>
        </w:tc>
        <w:tc>
          <w:tcPr>
            <w:tcW w:w="1918" w:type="dxa"/>
            <w:tcBorders>
              <w:bottom w:val="nil"/>
            </w:tcBorders>
          </w:tcPr>
          <w:p>
            <w:pPr>
              <w:pStyle w:val="TableParagraph"/>
              <w:spacing w:line="206" w:lineRule="auto" w:before="39"/>
              <w:ind w:right="362"/>
              <w:jc w:val="both"/>
              <w:rPr>
                <w:sz w:val="16"/>
              </w:rPr>
            </w:pPr>
            <w:r>
              <w:rPr>
                <w:color w:val="231F20"/>
                <w:sz w:val="16"/>
              </w:rPr>
              <w:t>Clients waiting for CERB benefits may request emergency financial support.</w:t>
            </w:r>
          </w:p>
        </w:tc>
        <w:tc>
          <w:tcPr>
            <w:tcW w:w="1918" w:type="dxa"/>
            <w:tcBorders>
              <w:bottom w:val="nil"/>
            </w:tcBorders>
          </w:tcPr>
          <w:p>
            <w:pPr>
              <w:pStyle w:val="TableParagraph"/>
              <w:spacing w:line="206" w:lineRule="auto" w:before="39"/>
              <w:ind w:left="78"/>
              <w:rPr>
                <w:sz w:val="16"/>
              </w:rPr>
            </w:pPr>
            <w:r>
              <w:rPr>
                <w:color w:val="231F20"/>
                <w:sz w:val="16"/>
              </w:rPr>
              <w:t>One-time emergency allowance for IA recipients of $500 for singles and $1,000 for households issued in March 2020.</w:t>
            </w:r>
          </w:p>
        </w:tc>
        <w:tc>
          <w:tcPr>
            <w:tcW w:w="1918" w:type="dxa"/>
            <w:tcBorders>
              <w:bottom w:val="nil"/>
            </w:tcBorders>
          </w:tcPr>
          <w:p>
            <w:pPr>
              <w:pStyle w:val="TableParagraph"/>
              <w:spacing w:before="13"/>
              <w:ind w:left="78"/>
              <w:rPr>
                <w:sz w:val="16"/>
              </w:rPr>
            </w:pPr>
            <w:r>
              <w:rPr>
                <w:color w:val="231F20"/>
                <w:sz w:val="16"/>
              </w:rPr>
              <w:t>no</w:t>
            </w:r>
          </w:p>
        </w:tc>
      </w:tr>
      <w:tr>
        <w:trPr>
          <w:trHeight w:val="1014" w:hRule="atLeast"/>
        </w:trPr>
        <w:tc>
          <w:tcPr>
            <w:tcW w:w="1680" w:type="dxa"/>
            <w:tcBorders>
              <w:top w:val="nil"/>
            </w:tcBorders>
            <w:shd w:val="clear" w:color="auto" w:fill="F1F2F2"/>
          </w:tcPr>
          <w:p>
            <w:pPr>
              <w:pStyle w:val="TableParagraph"/>
              <w:ind w:left="0"/>
              <w:rPr>
                <w:rFonts w:ascii="Times New Roman"/>
                <w:sz w:val="14"/>
              </w:rPr>
            </w:pPr>
          </w:p>
        </w:tc>
        <w:tc>
          <w:tcPr>
            <w:tcW w:w="1918" w:type="dxa"/>
            <w:tcBorders>
              <w:top w:val="nil"/>
            </w:tcBorders>
          </w:tcPr>
          <w:p>
            <w:pPr>
              <w:pStyle w:val="TableParagraph"/>
              <w:spacing w:line="206" w:lineRule="auto" w:before="23"/>
              <w:ind w:right="178"/>
              <w:rPr>
                <w:sz w:val="16"/>
              </w:rPr>
            </w:pPr>
            <w:r>
              <w:rPr>
                <w:color w:val="231F20"/>
                <w:sz w:val="16"/>
              </w:rPr>
              <w:t>On August 17, 2020, the Crisis Supplement was extended for</w:t>
            </w:r>
          </w:p>
          <w:p>
            <w:pPr>
              <w:pStyle w:val="TableParagraph"/>
              <w:spacing w:line="206" w:lineRule="auto"/>
              <w:rPr>
                <w:sz w:val="16"/>
              </w:rPr>
            </w:pPr>
            <w:r>
              <w:rPr>
                <w:color w:val="231F20"/>
                <w:sz w:val="16"/>
              </w:rPr>
              <w:t>an additional four months.</w:t>
            </w:r>
          </w:p>
        </w:tc>
        <w:tc>
          <w:tcPr>
            <w:tcW w:w="1918" w:type="dxa"/>
            <w:tcBorders>
              <w:top w:val="nil"/>
            </w:tcBorders>
          </w:tcPr>
          <w:p>
            <w:pPr>
              <w:pStyle w:val="TableParagraph"/>
              <w:ind w:left="0"/>
              <w:rPr>
                <w:rFonts w:ascii="Times New Roman"/>
                <w:sz w:val="14"/>
              </w:rPr>
            </w:pPr>
          </w:p>
        </w:tc>
        <w:tc>
          <w:tcPr>
            <w:tcW w:w="1918" w:type="dxa"/>
            <w:tcBorders>
              <w:top w:val="nil"/>
            </w:tcBorders>
          </w:tcPr>
          <w:p>
            <w:pPr>
              <w:pStyle w:val="TableParagraph"/>
              <w:ind w:left="0"/>
              <w:rPr>
                <w:rFonts w:ascii="Times New Roman"/>
                <w:sz w:val="14"/>
              </w:rPr>
            </w:pPr>
          </w:p>
        </w:tc>
        <w:tc>
          <w:tcPr>
            <w:tcW w:w="1918" w:type="dxa"/>
            <w:tcBorders>
              <w:top w:val="nil"/>
            </w:tcBorders>
          </w:tcPr>
          <w:p>
            <w:pPr>
              <w:pStyle w:val="TableParagraph"/>
              <w:ind w:left="0"/>
              <w:rPr>
                <w:rFonts w:ascii="Times New Roman"/>
                <w:sz w:val="14"/>
              </w:rPr>
            </w:pPr>
          </w:p>
        </w:tc>
      </w:tr>
      <w:tr>
        <w:trPr>
          <w:trHeight w:val="235" w:hRule="atLeast"/>
        </w:trPr>
        <w:tc>
          <w:tcPr>
            <w:tcW w:w="1680" w:type="dxa"/>
            <w:tcBorders>
              <w:bottom w:val="nil"/>
            </w:tcBorders>
            <w:shd w:val="clear" w:color="auto" w:fill="F1F2F2"/>
          </w:tcPr>
          <w:p>
            <w:pPr>
              <w:pStyle w:val="TableParagraph"/>
              <w:spacing w:line="202" w:lineRule="exact" w:before="13"/>
              <w:ind w:left="80"/>
              <w:rPr>
                <w:sz w:val="16"/>
              </w:rPr>
            </w:pPr>
            <w:r>
              <w:rPr>
                <w:color w:val="231F20"/>
                <w:sz w:val="16"/>
              </w:rPr>
              <w:t>Youth aging out of</w:t>
            </w:r>
          </w:p>
        </w:tc>
        <w:tc>
          <w:tcPr>
            <w:tcW w:w="1918" w:type="dxa"/>
            <w:tcBorders>
              <w:bottom w:val="nil"/>
            </w:tcBorders>
          </w:tcPr>
          <w:p>
            <w:pPr>
              <w:pStyle w:val="TableParagraph"/>
              <w:spacing w:line="202" w:lineRule="exact" w:before="13"/>
              <w:rPr>
                <w:sz w:val="16"/>
              </w:rPr>
            </w:pPr>
            <w:r>
              <w:rPr>
                <w:color w:val="231F20"/>
                <w:sz w:val="16"/>
              </w:rPr>
              <w:t>Youth will not age out</w:t>
            </w:r>
          </w:p>
        </w:tc>
        <w:tc>
          <w:tcPr>
            <w:tcW w:w="1918" w:type="dxa"/>
            <w:tcBorders>
              <w:bottom w:val="nil"/>
            </w:tcBorders>
          </w:tcPr>
          <w:p>
            <w:pPr>
              <w:pStyle w:val="TableParagraph"/>
              <w:spacing w:line="202" w:lineRule="exact" w:before="13"/>
              <w:rPr>
                <w:sz w:val="16"/>
              </w:rPr>
            </w:pPr>
            <w:r>
              <w:rPr>
                <w:color w:val="231F20"/>
                <w:sz w:val="16"/>
              </w:rPr>
              <w:t>Continuing to provide</w:t>
            </w:r>
          </w:p>
        </w:tc>
        <w:tc>
          <w:tcPr>
            <w:tcW w:w="1918" w:type="dxa"/>
            <w:tcBorders>
              <w:bottom w:val="nil"/>
            </w:tcBorders>
          </w:tcPr>
          <w:p>
            <w:pPr>
              <w:pStyle w:val="TableParagraph"/>
              <w:spacing w:line="202" w:lineRule="exact" w:before="13"/>
              <w:ind w:left="78"/>
              <w:rPr>
                <w:sz w:val="16"/>
              </w:rPr>
            </w:pPr>
            <w:r>
              <w:rPr>
                <w:color w:val="231F20"/>
                <w:sz w:val="16"/>
              </w:rPr>
              <w:t>NWT is extending</w:t>
            </w:r>
          </w:p>
        </w:tc>
        <w:tc>
          <w:tcPr>
            <w:tcW w:w="1918" w:type="dxa"/>
            <w:tcBorders>
              <w:bottom w:val="nil"/>
            </w:tcBorders>
          </w:tcPr>
          <w:p>
            <w:pPr>
              <w:pStyle w:val="TableParagraph"/>
              <w:spacing w:line="202" w:lineRule="exact" w:before="13"/>
              <w:ind w:left="78"/>
              <w:rPr>
                <w:sz w:val="16"/>
              </w:rPr>
            </w:pPr>
            <w:r>
              <w:rPr>
                <w:color w:val="231F20"/>
                <w:sz w:val="16"/>
              </w:rPr>
              <w:t>Youth will not age out</w:t>
            </w:r>
          </w:p>
        </w:tc>
      </w:tr>
      <w:tr>
        <w:trPr>
          <w:trHeight w:val="190" w:hRule="atLeast"/>
        </w:trPr>
        <w:tc>
          <w:tcPr>
            <w:tcW w:w="1680" w:type="dxa"/>
            <w:tcBorders>
              <w:top w:val="nil"/>
              <w:bottom w:val="nil"/>
            </w:tcBorders>
            <w:shd w:val="clear" w:color="auto" w:fill="F1F2F2"/>
          </w:tcPr>
          <w:p>
            <w:pPr>
              <w:pStyle w:val="TableParagraph"/>
              <w:spacing w:line="170" w:lineRule="exact"/>
              <w:ind w:left="80"/>
              <w:rPr>
                <w:rFonts w:ascii="Minion Pro"/>
                <w:sz w:val="9"/>
              </w:rPr>
            </w:pPr>
            <w:r>
              <w:rPr>
                <w:color w:val="231F20"/>
                <w:sz w:val="16"/>
              </w:rPr>
              <w:t>care</w:t>
            </w:r>
            <w:r>
              <w:rPr>
                <w:rFonts w:ascii="Minion Pro"/>
                <w:color w:val="231F20"/>
                <w:position w:val="5"/>
                <w:sz w:val="9"/>
              </w:rPr>
              <w:t>9 10</w:t>
            </w:r>
          </w:p>
        </w:tc>
        <w:tc>
          <w:tcPr>
            <w:tcW w:w="1918" w:type="dxa"/>
            <w:tcBorders>
              <w:top w:val="nil"/>
              <w:bottom w:val="nil"/>
            </w:tcBorders>
          </w:tcPr>
          <w:p>
            <w:pPr>
              <w:pStyle w:val="TableParagraph"/>
              <w:spacing w:line="170" w:lineRule="exact"/>
              <w:rPr>
                <w:rFonts w:ascii="Minion Pro"/>
                <w:sz w:val="9"/>
              </w:rPr>
            </w:pPr>
            <w:r>
              <w:rPr>
                <w:color w:val="231F20"/>
                <w:sz w:val="16"/>
              </w:rPr>
              <w:t>during pandemic.</w:t>
            </w:r>
            <w:r>
              <w:rPr>
                <w:rFonts w:ascii="Minion Pro"/>
                <w:color w:val="231F20"/>
                <w:position w:val="5"/>
                <w:sz w:val="9"/>
              </w:rPr>
              <w:t>38</w:t>
            </w:r>
          </w:p>
        </w:tc>
        <w:tc>
          <w:tcPr>
            <w:tcW w:w="1918" w:type="dxa"/>
            <w:tcBorders>
              <w:top w:val="nil"/>
              <w:bottom w:val="nil"/>
            </w:tcBorders>
          </w:tcPr>
          <w:p>
            <w:pPr>
              <w:pStyle w:val="TableParagraph"/>
              <w:spacing w:line="170" w:lineRule="exact"/>
              <w:rPr>
                <w:sz w:val="16"/>
              </w:rPr>
            </w:pPr>
            <w:r>
              <w:rPr>
                <w:color w:val="231F20"/>
                <w:sz w:val="16"/>
              </w:rPr>
              <w:t>services to youth in</w:t>
            </w:r>
          </w:p>
        </w:tc>
        <w:tc>
          <w:tcPr>
            <w:tcW w:w="1918" w:type="dxa"/>
            <w:tcBorders>
              <w:top w:val="nil"/>
              <w:bottom w:val="nil"/>
            </w:tcBorders>
          </w:tcPr>
          <w:p>
            <w:pPr>
              <w:pStyle w:val="TableParagraph"/>
              <w:spacing w:line="170" w:lineRule="exact"/>
              <w:ind w:left="78"/>
              <w:rPr>
                <w:sz w:val="16"/>
              </w:rPr>
            </w:pPr>
            <w:r>
              <w:rPr>
                <w:color w:val="231F20"/>
                <w:sz w:val="16"/>
              </w:rPr>
              <w:t>support to youth in</w:t>
            </w:r>
          </w:p>
        </w:tc>
        <w:tc>
          <w:tcPr>
            <w:tcW w:w="1918" w:type="dxa"/>
            <w:tcBorders>
              <w:top w:val="nil"/>
              <w:bottom w:val="nil"/>
            </w:tcBorders>
          </w:tcPr>
          <w:p>
            <w:pPr>
              <w:pStyle w:val="TableParagraph"/>
              <w:spacing w:line="170" w:lineRule="exact"/>
              <w:ind w:left="78"/>
              <w:rPr>
                <w:sz w:val="16"/>
              </w:rPr>
            </w:pPr>
            <w:r>
              <w:rPr>
                <w:color w:val="231F20"/>
                <w:sz w:val="16"/>
              </w:rPr>
              <w:t>during the pandemic.</w:t>
            </w:r>
          </w:p>
        </w:tc>
      </w:tr>
      <w:tr>
        <w:trPr>
          <w:trHeight w:val="190" w:hRule="atLeast"/>
        </w:trPr>
        <w:tc>
          <w:tcPr>
            <w:tcW w:w="1680" w:type="dxa"/>
            <w:tcBorders>
              <w:top w:val="nil"/>
              <w:bottom w:val="nil"/>
            </w:tcBorders>
            <w:shd w:val="clear" w:color="auto" w:fill="F1F2F2"/>
          </w:tcPr>
          <w:p>
            <w:pPr>
              <w:pStyle w:val="TableParagraph"/>
              <w:ind w:left="0"/>
              <w:rPr>
                <w:rFonts w:ascii="Times New Roman"/>
                <w:sz w:val="12"/>
              </w:rPr>
            </w:pP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rPr>
                <w:sz w:val="16"/>
              </w:rPr>
            </w:pPr>
            <w:r>
              <w:rPr>
                <w:color w:val="231F20"/>
                <w:sz w:val="16"/>
              </w:rPr>
              <w:t>care. Youth will not</w:t>
            </w:r>
          </w:p>
        </w:tc>
        <w:tc>
          <w:tcPr>
            <w:tcW w:w="1918" w:type="dxa"/>
            <w:tcBorders>
              <w:top w:val="nil"/>
              <w:bottom w:val="nil"/>
            </w:tcBorders>
          </w:tcPr>
          <w:p>
            <w:pPr>
              <w:pStyle w:val="TableParagraph"/>
              <w:spacing w:line="170" w:lineRule="exact"/>
              <w:ind w:left="78"/>
              <w:rPr>
                <w:sz w:val="16"/>
              </w:rPr>
            </w:pPr>
            <w:r>
              <w:rPr>
                <w:color w:val="231F20"/>
                <w:sz w:val="16"/>
              </w:rPr>
              <w:t>care and young adults</w:t>
            </w:r>
          </w:p>
        </w:tc>
        <w:tc>
          <w:tcPr>
            <w:tcW w:w="1918" w:type="dxa"/>
            <w:tcBorders>
              <w:top w:val="nil"/>
              <w:bottom w:val="nil"/>
            </w:tcBorders>
          </w:tcPr>
          <w:p>
            <w:pPr>
              <w:pStyle w:val="TableParagraph"/>
              <w:ind w:left="0"/>
              <w:rPr>
                <w:rFonts w:ascii="Times New Roman"/>
                <w:sz w:val="12"/>
              </w:rPr>
            </w:pPr>
          </w:p>
        </w:tc>
      </w:tr>
      <w:tr>
        <w:trPr>
          <w:trHeight w:val="190" w:hRule="atLeast"/>
        </w:trPr>
        <w:tc>
          <w:tcPr>
            <w:tcW w:w="1680" w:type="dxa"/>
            <w:tcBorders>
              <w:top w:val="nil"/>
              <w:bottom w:val="nil"/>
            </w:tcBorders>
            <w:shd w:val="clear" w:color="auto" w:fill="F1F2F2"/>
          </w:tcPr>
          <w:p>
            <w:pPr>
              <w:pStyle w:val="TableParagraph"/>
              <w:ind w:left="0"/>
              <w:rPr>
                <w:rFonts w:ascii="Times New Roman"/>
                <w:sz w:val="12"/>
              </w:rPr>
            </w:pPr>
          </w:p>
        </w:tc>
        <w:tc>
          <w:tcPr>
            <w:tcW w:w="1918" w:type="dxa"/>
            <w:tcBorders>
              <w:top w:val="nil"/>
              <w:bottom w:val="nil"/>
            </w:tcBorders>
          </w:tcPr>
          <w:p>
            <w:pPr>
              <w:pStyle w:val="TableParagraph"/>
              <w:ind w:left="0"/>
              <w:rPr>
                <w:rFonts w:ascii="Times New Roman"/>
                <w:sz w:val="12"/>
              </w:rPr>
            </w:pPr>
          </w:p>
        </w:tc>
        <w:tc>
          <w:tcPr>
            <w:tcW w:w="1918" w:type="dxa"/>
            <w:tcBorders>
              <w:top w:val="nil"/>
              <w:bottom w:val="nil"/>
            </w:tcBorders>
          </w:tcPr>
          <w:p>
            <w:pPr>
              <w:pStyle w:val="TableParagraph"/>
              <w:spacing w:line="170" w:lineRule="exact"/>
              <w:rPr>
                <w:sz w:val="16"/>
              </w:rPr>
            </w:pPr>
            <w:r>
              <w:rPr>
                <w:color w:val="231F20"/>
                <w:sz w:val="16"/>
              </w:rPr>
              <w:t>age out during the</w:t>
            </w:r>
          </w:p>
        </w:tc>
        <w:tc>
          <w:tcPr>
            <w:tcW w:w="1918" w:type="dxa"/>
            <w:tcBorders>
              <w:top w:val="nil"/>
              <w:bottom w:val="nil"/>
            </w:tcBorders>
          </w:tcPr>
          <w:p>
            <w:pPr>
              <w:pStyle w:val="TableParagraph"/>
              <w:spacing w:line="170" w:lineRule="exact"/>
              <w:ind w:left="78"/>
              <w:rPr>
                <w:sz w:val="16"/>
              </w:rPr>
            </w:pPr>
            <w:r>
              <w:rPr>
                <w:color w:val="231F20"/>
                <w:sz w:val="16"/>
              </w:rPr>
              <w:t>aging out of services</w:t>
            </w:r>
          </w:p>
        </w:tc>
        <w:tc>
          <w:tcPr>
            <w:tcW w:w="1918" w:type="dxa"/>
            <w:tcBorders>
              <w:top w:val="nil"/>
              <w:bottom w:val="nil"/>
            </w:tcBorders>
          </w:tcPr>
          <w:p>
            <w:pPr>
              <w:pStyle w:val="TableParagraph"/>
              <w:ind w:left="0"/>
              <w:rPr>
                <w:rFonts w:ascii="Times New Roman"/>
                <w:sz w:val="12"/>
              </w:rPr>
            </w:pPr>
          </w:p>
        </w:tc>
      </w:tr>
      <w:tr>
        <w:trPr>
          <w:trHeight w:val="549" w:hRule="atLeast"/>
        </w:trPr>
        <w:tc>
          <w:tcPr>
            <w:tcW w:w="1680" w:type="dxa"/>
            <w:tcBorders>
              <w:top w:val="nil"/>
            </w:tcBorders>
            <w:shd w:val="clear" w:color="auto" w:fill="F1F2F2"/>
          </w:tcPr>
          <w:p>
            <w:pPr>
              <w:pStyle w:val="TableParagraph"/>
              <w:ind w:left="0"/>
              <w:rPr>
                <w:rFonts w:ascii="Times New Roman"/>
                <w:sz w:val="14"/>
              </w:rPr>
            </w:pPr>
          </w:p>
        </w:tc>
        <w:tc>
          <w:tcPr>
            <w:tcW w:w="1918" w:type="dxa"/>
            <w:tcBorders>
              <w:top w:val="nil"/>
            </w:tcBorders>
          </w:tcPr>
          <w:p>
            <w:pPr>
              <w:pStyle w:val="TableParagraph"/>
              <w:ind w:left="0"/>
              <w:rPr>
                <w:rFonts w:ascii="Times New Roman"/>
                <w:sz w:val="14"/>
              </w:rPr>
            </w:pPr>
          </w:p>
        </w:tc>
        <w:tc>
          <w:tcPr>
            <w:tcW w:w="1918" w:type="dxa"/>
            <w:tcBorders>
              <w:top w:val="nil"/>
            </w:tcBorders>
          </w:tcPr>
          <w:p>
            <w:pPr>
              <w:pStyle w:val="TableParagraph"/>
              <w:spacing w:line="190" w:lineRule="exact"/>
              <w:rPr>
                <w:sz w:val="16"/>
              </w:rPr>
            </w:pPr>
            <w:r>
              <w:rPr>
                <w:color w:val="231F20"/>
                <w:sz w:val="16"/>
              </w:rPr>
              <w:t>pandemic.</w:t>
            </w:r>
          </w:p>
        </w:tc>
        <w:tc>
          <w:tcPr>
            <w:tcW w:w="1918" w:type="dxa"/>
            <w:tcBorders>
              <w:top w:val="nil"/>
            </w:tcBorders>
          </w:tcPr>
          <w:p>
            <w:pPr>
              <w:pStyle w:val="TableParagraph"/>
              <w:spacing w:line="190" w:lineRule="exact"/>
              <w:ind w:left="78"/>
              <w:rPr>
                <w:rFonts w:ascii="Minion Pro"/>
                <w:sz w:val="9"/>
              </w:rPr>
            </w:pPr>
            <w:r>
              <w:rPr>
                <w:color w:val="231F20"/>
                <w:sz w:val="16"/>
              </w:rPr>
              <w:t>during the pandemic.</w:t>
            </w:r>
            <w:r>
              <w:rPr>
                <w:rFonts w:ascii="Minion Pro"/>
                <w:color w:val="231F20"/>
                <w:position w:val="5"/>
                <w:sz w:val="9"/>
              </w:rPr>
              <w:t>39</w:t>
            </w:r>
          </w:p>
        </w:tc>
        <w:tc>
          <w:tcPr>
            <w:tcW w:w="1918" w:type="dxa"/>
            <w:tcBorders>
              <w:top w:val="nil"/>
            </w:tcBorders>
          </w:tcPr>
          <w:p>
            <w:pPr>
              <w:pStyle w:val="TableParagraph"/>
              <w:ind w:left="0"/>
              <w:rPr>
                <w:rFonts w:ascii="Times New Roman"/>
                <w:sz w:val="14"/>
              </w:rPr>
            </w:pPr>
          </w:p>
        </w:tc>
      </w:tr>
    </w:tbl>
    <w:p>
      <w:pPr>
        <w:pStyle w:val="BodyText"/>
        <w:spacing w:before="7"/>
        <w:rPr>
          <w:sz w:val="18"/>
        </w:rPr>
      </w:pPr>
      <w:r>
        <w:rPr/>
        <w:pict>
          <v:shape style="position:absolute;margin-left:72pt;margin-top:13.5489pt;width:72pt;height:.1pt;mso-position-horizontal-relative:page;mso-position-vertical-relative:paragraph;z-index:-15725056;mso-wrap-distance-left:0;mso-wrap-distance-right:0" coordorigin="1440,271" coordsize="1440,0" path="m1440,271l2880,271e" filled="false" stroked="true" strokeweight=".75pt" strokecolor="#231f20">
            <v:path arrowok="t"/>
            <v:stroke dashstyle="solid"/>
            <w10:wrap type="topAndBottom"/>
          </v:shape>
        </w:pict>
      </w:r>
    </w:p>
    <w:p>
      <w:pPr>
        <w:pStyle w:val="ListParagraph"/>
        <w:numPr>
          <w:ilvl w:val="0"/>
          <w:numId w:val="3"/>
        </w:numPr>
        <w:tabs>
          <w:tab w:pos="819" w:val="left" w:leader="none"/>
          <w:tab w:pos="820" w:val="left" w:leader="none"/>
        </w:tabs>
        <w:spacing w:line="240" w:lineRule="auto" w:before="140" w:after="0"/>
        <w:ind w:left="820" w:right="0" w:hanging="360"/>
        <w:jc w:val="left"/>
        <w:rPr>
          <w:sz w:val="14"/>
        </w:rPr>
      </w:pPr>
      <w:hyperlink r:id="rId24">
        <w:r>
          <w:rPr>
            <w:color w:val="0562C1"/>
            <w:sz w:val="14"/>
            <w:u w:val="single" w:color="0562C1"/>
          </w:rPr>
          <w:t>https://www2.gov.bc.ca/gov/content/family-social-supports/income-assistance/on-assistance/covid</w:t>
        </w:r>
      </w:hyperlink>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25">
        <w:r>
          <w:rPr>
            <w:color w:val="0562C1"/>
            <w:sz w:val="14"/>
            <w:u w:val="single" w:color="0562C1"/>
          </w:rPr>
          <w:t>https://news.gov.bc.ca/releases/2020SDPR0012-000620</w:t>
        </w:r>
      </w:hyperlink>
    </w:p>
    <w:p>
      <w:pPr>
        <w:pStyle w:val="ListParagraph"/>
        <w:numPr>
          <w:ilvl w:val="0"/>
          <w:numId w:val="3"/>
        </w:numPr>
        <w:tabs>
          <w:tab w:pos="819" w:val="left" w:leader="none"/>
          <w:tab w:pos="820" w:val="left" w:leader="none"/>
        </w:tabs>
        <w:spacing w:line="240" w:lineRule="auto" w:before="87" w:after="0"/>
        <w:ind w:left="820" w:right="0" w:hanging="360"/>
        <w:jc w:val="left"/>
        <w:rPr>
          <w:sz w:val="14"/>
        </w:rPr>
      </w:pPr>
      <w:hyperlink r:id="rId26">
        <w:r>
          <w:rPr>
            <w:color w:val="0562C1"/>
            <w:sz w:val="14"/>
            <w:u w:val="single" w:color="0562C1"/>
          </w:rPr>
          <w:t>https://news.gov.bc.ca/releases/2020SDPR0036-001223</w:t>
        </w:r>
      </w:hyperlink>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27">
        <w:r>
          <w:rPr>
            <w:color w:val="0562C1"/>
            <w:sz w:val="14"/>
            <w:u w:val="single" w:color="0562C1"/>
          </w:rPr>
          <w:t>https://news.gov.bc.ca/releases/2020SDPR0041-001511</w:t>
        </w:r>
      </w:hyperlink>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28">
        <w:r>
          <w:rPr>
            <w:color w:val="0562C1"/>
            <w:sz w:val="14"/>
            <w:u w:val="single" w:color="0562C1"/>
          </w:rPr>
          <w:t>https://yukon.ca/en/news/canada-emergency-response-benefit-be-exempted-yukon-social-assistance</w:t>
        </w:r>
      </w:hyperlink>
    </w:p>
    <w:p>
      <w:pPr>
        <w:pStyle w:val="ListParagraph"/>
        <w:numPr>
          <w:ilvl w:val="0"/>
          <w:numId w:val="3"/>
        </w:numPr>
        <w:tabs>
          <w:tab w:pos="819" w:val="left" w:leader="none"/>
          <w:tab w:pos="820" w:val="left" w:leader="none"/>
        </w:tabs>
        <w:spacing w:line="240" w:lineRule="auto" w:before="87" w:after="0"/>
        <w:ind w:left="819" w:right="0" w:hanging="360"/>
        <w:jc w:val="left"/>
        <w:rPr>
          <w:sz w:val="14"/>
        </w:rPr>
      </w:pPr>
      <w:r>
        <w:rPr>
          <w:color w:val="231F20"/>
          <w:sz w:val="14"/>
        </w:rPr>
        <w:t>Territorial</w:t>
      </w:r>
      <w:r>
        <w:rPr>
          <w:color w:val="231F20"/>
          <w:spacing w:val="-1"/>
          <w:sz w:val="14"/>
        </w:rPr>
        <w:t> </w:t>
      </w:r>
      <w:r>
        <w:rPr>
          <w:color w:val="231F20"/>
          <w:sz w:val="14"/>
        </w:rPr>
        <w:t>official</w:t>
      </w:r>
    </w:p>
    <w:p>
      <w:pPr>
        <w:pStyle w:val="ListParagraph"/>
        <w:numPr>
          <w:ilvl w:val="0"/>
          <w:numId w:val="3"/>
        </w:numPr>
        <w:tabs>
          <w:tab w:pos="819" w:val="left" w:leader="none"/>
          <w:tab w:pos="820" w:val="left" w:leader="none"/>
        </w:tabs>
        <w:spacing w:line="240" w:lineRule="auto" w:before="86" w:after="0"/>
        <w:ind w:left="820" w:right="1973" w:hanging="360"/>
        <w:jc w:val="left"/>
        <w:rPr>
          <w:sz w:val="14"/>
        </w:rPr>
      </w:pPr>
      <w:hyperlink r:id="rId29">
        <w:r>
          <w:rPr>
            <w:color w:val="0562C1"/>
            <w:spacing w:val="-1"/>
            <w:sz w:val="14"/>
            <w:u w:val="single" w:color="0562C1"/>
          </w:rPr>
          <w:t>https://www.gov.nt.ca/en/newsroom/minister-education-culture-and-employment-announces-income-assistance-exemp-</w:t>
        </w:r>
      </w:hyperlink>
      <w:hyperlink r:id="rId29">
        <w:r>
          <w:rPr>
            <w:color w:val="0562C1"/>
            <w:spacing w:val="-1"/>
            <w:sz w:val="14"/>
            <w:u w:val="single" w:color="0562C1"/>
          </w:rPr>
          <w:t> </w:t>
        </w:r>
        <w:r>
          <w:rPr>
            <w:color w:val="0562C1"/>
            <w:sz w:val="14"/>
            <w:u w:val="single" w:color="0562C1"/>
          </w:rPr>
          <w:t>tions-residents</w:t>
        </w:r>
      </w:hyperlink>
    </w:p>
    <w:p>
      <w:pPr>
        <w:pStyle w:val="ListParagraph"/>
        <w:numPr>
          <w:ilvl w:val="0"/>
          <w:numId w:val="3"/>
        </w:numPr>
        <w:tabs>
          <w:tab w:pos="819" w:val="left" w:leader="none"/>
          <w:tab w:pos="820" w:val="left" w:leader="none"/>
        </w:tabs>
        <w:spacing w:line="240" w:lineRule="auto" w:before="87" w:after="0"/>
        <w:ind w:left="819" w:right="0" w:hanging="360"/>
        <w:jc w:val="left"/>
        <w:rPr>
          <w:sz w:val="14"/>
        </w:rPr>
      </w:pPr>
      <w:r>
        <w:rPr>
          <w:color w:val="231F20"/>
          <w:w w:val="95"/>
          <w:sz w:val="14"/>
        </w:rPr>
        <w:t>Territorial</w:t>
      </w:r>
      <w:r>
        <w:rPr>
          <w:color w:val="231F20"/>
          <w:spacing w:val="28"/>
          <w:w w:val="95"/>
          <w:sz w:val="14"/>
        </w:rPr>
        <w:t> </w:t>
      </w:r>
      <w:r>
        <w:rPr>
          <w:color w:val="231F20"/>
          <w:w w:val="95"/>
          <w:sz w:val="14"/>
        </w:rPr>
        <w:t>official</w:t>
      </w:r>
    </w:p>
    <w:p>
      <w:pPr>
        <w:pStyle w:val="ListParagraph"/>
        <w:numPr>
          <w:ilvl w:val="0"/>
          <w:numId w:val="3"/>
        </w:numPr>
        <w:tabs>
          <w:tab w:pos="819" w:val="left" w:leader="none"/>
          <w:tab w:pos="820" w:val="left" w:leader="none"/>
        </w:tabs>
        <w:spacing w:line="240" w:lineRule="auto" w:before="86" w:after="0"/>
        <w:ind w:left="819" w:right="0" w:hanging="360"/>
        <w:jc w:val="left"/>
        <w:rPr>
          <w:sz w:val="14"/>
        </w:rPr>
      </w:pPr>
      <w:r>
        <w:rPr>
          <w:color w:val="231F20"/>
          <w:w w:val="95"/>
          <w:sz w:val="14"/>
        </w:rPr>
        <w:t>Territorial</w:t>
      </w:r>
      <w:r>
        <w:rPr>
          <w:color w:val="231F20"/>
          <w:spacing w:val="28"/>
          <w:w w:val="95"/>
          <w:sz w:val="14"/>
        </w:rPr>
        <w:t> </w:t>
      </w:r>
      <w:r>
        <w:rPr>
          <w:color w:val="231F20"/>
          <w:w w:val="95"/>
          <w:sz w:val="14"/>
        </w:rPr>
        <w:t>official</w:t>
      </w:r>
    </w:p>
    <w:p>
      <w:pPr>
        <w:pStyle w:val="ListParagraph"/>
        <w:numPr>
          <w:ilvl w:val="0"/>
          <w:numId w:val="3"/>
        </w:numPr>
        <w:tabs>
          <w:tab w:pos="819" w:val="left" w:leader="none"/>
          <w:tab w:pos="820" w:val="left" w:leader="none"/>
        </w:tabs>
        <w:spacing w:line="240" w:lineRule="auto" w:before="86" w:after="0"/>
        <w:ind w:left="820" w:right="0" w:hanging="360"/>
        <w:jc w:val="left"/>
        <w:rPr>
          <w:sz w:val="14"/>
        </w:rPr>
      </w:pPr>
      <w:hyperlink r:id="rId30">
        <w:r>
          <w:rPr>
            <w:color w:val="0562C1"/>
            <w:sz w:val="14"/>
            <w:u w:val="single" w:color="0562C1"/>
          </w:rPr>
          <w:t>https://news.gov.bc.ca/releases/2020CFD0042-000596</w:t>
        </w:r>
      </w:hyperlink>
    </w:p>
    <w:p>
      <w:pPr>
        <w:pStyle w:val="ListParagraph"/>
        <w:numPr>
          <w:ilvl w:val="0"/>
          <w:numId w:val="3"/>
        </w:numPr>
        <w:tabs>
          <w:tab w:pos="819" w:val="left" w:leader="none"/>
          <w:tab w:pos="820" w:val="left" w:leader="none"/>
        </w:tabs>
        <w:spacing w:line="240" w:lineRule="auto" w:before="87" w:after="0"/>
        <w:ind w:left="820" w:right="0" w:hanging="360"/>
        <w:jc w:val="left"/>
        <w:rPr>
          <w:sz w:val="14"/>
        </w:rPr>
      </w:pPr>
      <w:hyperlink r:id="rId31">
        <w:r>
          <w:rPr>
            <w:color w:val="0562C1"/>
            <w:sz w:val="14"/>
            <w:u w:val="single" w:color="0562C1"/>
          </w:rPr>
          <w:t>https://www.gov.nt.ca/en/newsroom/diane-thom-covid-19-health-and-social-services-system-response</w:t>
        </w:r>
      </w:hyperlink>
    </w:p>
    <w:p>
      <w:pPr>
        <w:spacing w:after="0" w:line="240" w:lineRule="auto"/>
        <w:jc w:val="left"/>
        <w:rPr>
          <w:sz w:val="14"/>
        </w:rPr>
        <w:sectPr>
          <w:pgSz w:w="12240" w:h="15840"/>
          <w:pgMar w:header="0" w:footer="723" w:top="1440" w:bottom="920" w:left="980" w:right="1320"/>
        </w:sectPr>
      </w:pPr>
    </w:p>
    <w:p>
      <w:pPr>
        <w:spacing w:before="76"/>
        <w:ind w:left="460" w:right="0" w:firstLine="0"/>
        <w:jc w:val="left"/>
        <w:rPr>
          <w:sz w:val="22"/>
        </w:rPr>
      </w:pPr>
      <w:r>
        <w:rPr>
          <w:color w:val="231F20"/>
          <w:sz w:val="22"/>
        </w:rPr>
        <w:t>Copyright © Maytree 2020</w:t>
      </w:r>
    </w:p>
    <w:p>
      <w:pPr>
        <w:pStyle w:val="BodyText"/>
        <w:spacing w:before="8"/>
        <w:rPr>
          <w:sz w:val="19"/>
        </w:rPr>
      </w:pPr>
    </w:p>
    <w:p>
      <w:pPr>
        <w:spacing w:line="290" w:lineRule="auto" w:before="0"/>
        <w:ind w:left="460" w:right="6188" w:firstLine="0"/>
        <w:jc w:val="left"/>
        <w:rPr>
          <w:sz w:val="22"/>
        </w:rPr>
      </w:pPr>
      <w:r>
        <w:rPr>
          <w:color w:val="231F20"/>
          <w:sz w:val="22"/>
        </w:rPr>
        <w:t>77 Bloor Street West, Suite 1600 Toronto, ON M5S 1M2 CANADA</w:t>
      </w:r>
    </w:p>
    <w:p>
      <w:pPr>
        <w:spacing w:before="181"/>
        <w:ind w:left="460" w:right="0" w:firstLine="0"/>
        <w:jc w:val="left"/>
        <w:rPr>
          <w:sz w:val="22"/>
        </w:rPr>
      </w:pPr>
      <w:r>
        <w:rPr>
          <w:color w:val="231F20"/>
          <w:sz w:val="22"/>
        </w:rPr>
        <w:t>+1-416-944-2627</w:t>
      </w:r>
    </w:p>
    <w:p>
      <w:pPr>
        <w:spacing w:line="309" w:lineRule="auto" w:before="56"/>
        <w:ind w:left="460" w:right="6188" w:firstLine="0"/>
        <w:jc w:val="left"/>
        <w:rPr>
          <w:sz w:val="22"/>
        </w:rPr>
      </w:pPr>
      <w:hyperlink r:id="rId32">
        <w:r>
          <w:rPr>
            <w:color w:val="231F20"/>
            <w:sz w:val="22"/>
          </w:rPr>
          <w:t>policy@maytree.com</w:t>
        </w:r>
      </w:hyperlink>
      <w:r>
        <w:rPr>
          <w:color w:val="231F20"/>
          <w:sz w:val="22"/>
        </w:rPr>
        <w:t> </w:t>
      </w:r>
      <w:hyperlink r:id="rId33">
        <w:r>
          <w:rPr>
            <w:color w:val="0562C1"/>
            <w:sz w:val="22"/>
            <w:u w:val="single" w:color="0562C1"/>
          </w:rPr>
          <w:t>www.maytree.com</w:t>
        </w:r>
      </w:hyperlink>
      <w:r>
        <w:rPr>
          <w:color w:val="0562C1"/>
          <w:sz w:val="22"/>
        </w:rPr>
        <w:t> </w:t>
      </w:r>
      <w:r>
        <w:rPr>
          <w:color w:val="231F20"/>
          <w:sz w:val="22"/>
        </w:rPr>
        <w:t>@maytree_canada</w:t>
      </w:r>
    </w:p>
    <w:sectPr>
      <w:pgSz w:w="12240" w:h="15840"/>
      <w:pgMar w:header="0" w:footer="723" w:top="1320" w:bottom="920" w:left="9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abonLTPro-Roman">
    <w:altName w:val="SabonLTPro-Roman"/>
    <w:charset w:val="0"/>
    <w:family w:val="roman"/>
    <w:pitch w:val="variable"/>
  </w:font>
  <w:font w:name="Frutiger">
    <w:altName w:val="Frutiger"/>
    <w:charset w:val="0"/>
    <w:family w:val="roman"/>
    <w:pitch w:val="variable"/>
  </w:font>
  <w:font w:name="FrutigerLTStd-Bold">
    <w:altName w:val="FrutigerLTStd-Bold"/>
    <w:charset w:val="0"/>
    <w:family w:val="roman"/>
    <w:pitch w:val="variable"/>
  </w:font>
  <w:font w:name="Sabon LT Pro">
    <w:altName w:val="Sabon LT Pro"/>
    <w:charset w:val="0"/>
    <w:family w:val="roman"/>
    <w:pitch w:val="variable"/>
  </w:font>
  <w:font w:name="Minion Pro">
    <w:altName w:val="Minion Pro"/>
    <w:charset w:val="0"/>
    <w:family w:val="roman"/>
    <w:pitch w:val="variable"/>
  </w:font>
  <w:font w:name="Frutiger LT Std">
    <w:altName w:val="Frutiger LT St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44.984009pt;width:384.65pt;height:11.05pt;mso-position-horizontal-relative:page;mso-position-vertical-relative:page;z-index:-16161280" type="#_x0000_t202" filled="false" stroked="false">
          <v:textbox inset="0,0,0,0">
            <w:txbxContent>
              <w:p>
                <w:pPr>
                  <w:spacing w:before="32"/>
                  <w:ind w:left="20" w:right="0" w:firstLine="0"/>
                  <w:jc w:val="left"/>
                  <w:rPr>
                    <w:rFonts w:ascii="Frutiger"/>
                    <w:sz w:val="16"/>
                  </w:rPr>
                </w:pPr>
                <w:r>
                  <w:rPr>
                    <w:rFonts w:ascii="Frutiger"/>
                    <w:color w:val="231F20"/>
                    <w:sz w:val="16"/>
                  </w:rPr>
                  <w:t>Policy Backgrounder: Canada Emergency Response Benefit (CERB) interactions; final update on August 20, 2020</w:t>
                </w:r>
              </w:p>
            </w:txbxContent>
          </v:textbox>
          <w10:wrap type="none"/>
        </v:shape>
      </w:pict>
    </w:r>
    <w:r>
      <w:rPr/>
      <w:pict>
        <v:shape style="position:absolute;margin-left:532.716003pt;margin-top:744.856995pt;width:11.05pt;height:12.15pt;mso-position-horizontal-relative:page;mso-position-vertical-relative:page;z-index:-16160768" type="#_x0000_t202" filled="false" stroked="false">
          <v:textbox inset="0,0,0,0">
            <w:txbxContent>
              <w:p>
                <w:pPr>
                  <w:spacing w:before="34"/>
                  <w:ind w:left="60" w:right="0" w:firstLine="0"/>
                  <w:jc w:val="left"/>
                  <w:rPr>
                    <w:rFonts w:ascii="Frutiger"/>
                    <w:sz w:val="18"/>
                  </w:rPr>
                </w:pPr>
                <w:r>
                  <w:rPr/>
                  <w:fldChar w:fldCharType="begin"/>
                </w:r>
                <w:r>
                  <w:rPr>
                    <w:rFonts w:ascii="Frutiger"/>
                    <w:color w:val="231F20"/>
                    <w:sz w:val="18"/>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0"/>
      <w:numFmt w:val="decimal"/>
      <w:lvlText w:val="%1"/>
      <w:lvlJc w:val="left"/>
      <w:pPr>
        <w:ind w:left="820" w:hanging="360"/>
        <w:jc w:val="left"/>
      </w:pPr>
      <w:rPr>
        <w:rFonts w:hint="default" w:ascii="SabonLTPro-Roman" w:hAnsi="SabonLTPro-Roman" w:eastAsia="SabonLTPro-Roman" w:cs="SabonLTPro-Roman"/>
        <w:color w:val="231F20"/>
        <w:w w:val="100"/>
        <w:sz w:val="14"/>
        <w:szCs w:val="14"/>
        <w:lang w:val="en-us" w:eastAsia="en-US" w:bidi="ar-SA"/>
      </w:rPr>
    </w:lvl>
    <w:lvl w:ilvl="1">
      <w:start w:val="0"/>
      <w:numFmt w:val="bullet"/>
      <w:lvlText w:val="•"/>
      <w:lvlJc w:val="left"/>
      <w:pPr>
        <w:ind w:left="173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55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92" w:hanging="360"/>
      </w:pPr>
      <w:rPr>
        <w:rFonts w:hint="default"/>
        <w:lang w:val="en-us" w:eastAsia="en-US" w:bidi="ar-SA"/>
      </w:rPr>
    </w:lvl>
    <w:lvl w:ilvl="7">
      <w:start w:val="0"/>
      <w:numFmt w:val="bullet"/>
      <w:lvlText w:val="•"/>
      <w:lvlJc w:val="left"/>
      <w:pPr>
        <w:ind w:left="720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multiLevelType w:val="hybridMultilevel"/>
    <w:lvl w:ilvl="0">
      <w:start w:val="1"/>
      <w:numFmt w:val="decimal"/>
      <w:lvlText w:val="%1"/>
      <w:lvlJc w:val="left"/>
      <w:pPr>
        <w:ind w:left="820" w:hanging="360"/>
        <w:jc w:val="left"/>
      </w:pPr>
      <w:rPr>
        <w:rFonts w:hint="default" w:ascii="SabonLTPro-Roman" w:hAnsi="SabonLTPro-Roman" w:eastAsia="SabonLTPro-Roman" w:cs="SabonLTPro-Roman"/>
        <w:color w:val="231F20"/>
        <w:w w:val="100"/>
        <w:sz w:val="14"/>
        <w:szCs w:val="14"/>
        <w:lang w:val="en-us" w:eastAsia="en-US" w:bidi="ar-SA"/>
      </w:rPr>
    </w:lvl>
    <w:lvl w:ilvl="1">
      <w:start w:val="0"/>
      <w:numFmt w:val="bullet"/>
      <w:lvlText w:val="•"/>
      <w:lvlJc w:val="left"/>
      <w:pPr>
        <w:ind w:left="173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55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92" w:hanging="360"/>
      </w:pPr>
      <w:rPr>
        <w:rFonts w:hint="default"/>
        <w:lang w:val="en-us" w:eastAsia="en-US" w:bidi="ar-SA"/>
      </w:rPr>
    </w:lvl>
    <w:lvl w:ilvl="7">
      <w:start w:val="0"/>
      <w:numFmt w:val="bullet"/>
      <w:lvlText w:val="•"/>
      <w:lvlJc w:val="left"/>
      <w:pPr>
        <w:ind w:left="720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0">
    <w:multiLevelType w:val="hybridMultilevel"/>
    <w:lvl w:ilvl="0">
      <w:start w:val="0"/>
      <w:numFmt w:val="bullet"/>
      <w:lvlText w:val="•"/>
      <w:lvlJc w:val="left"/>
      <w:pPr>
        <w:ind w:left="1180" w:hanging="360"/>
      </w:pPr>
      <w:rPr>
        <w:rFonts w:hint="default" w:ascii="SabonLTPro-Roman" w:hAnsi="SabonLTPro-Roman" w:eastAsia="SabonLTPro-Roman" w:cs="SabonLTPro-Roman"/>
        <w:color w:val="231F20"/>
        <w:w w:val="100"/>
        <w:sz w:val="24"/>
        <w:szCs w:val="24"/>
        <w:lang w:val="en-us" w:eastAsia="en-US" w:bidi="ar-SA"/>
      </w:rPr>
    </w:lvl>
    <w:lvl w:ilvl="1">
      <w:start w:val="0"/>
      <w:numFmt w:val="bullet"/>
      <w:lvlText w:val="•"/>
      <w:lvlJc w:val="left"/>
      <w:pPr>
        <w:ind w:left="2056" w:hanging="360"/>
      </w:pPr>
      <w:rPr>
        <w:rFonts w:hint="default"/>
        <w:lang w:val="en-us" w:eastAsia="en-US" w:bidi="ar-SA"/>
      </w:rPr>
    </w:lvl>
    <w:lvl w:ilvl="2">
      <w:start w:val="0"/>
      <w:numFmt w:val="bullet"/>
      <w:lvlText w:val="•"/>
      <w:lvlJc w:val="left"/>
      <w:pPr>
        <w:ind w:left="2932" w:hanging="360"/>
      </w:pPr>
      <w:rPr>
        <w:rFonts w:hint="default"/>
        <w:lang w:val="en-us" w:eastAsia="en-US" w:bidi="ar-SA"/>
      </w:rPr>
    </w:lvl>
    <w:lvl w:ilvl="3">
      <w:start w:val="0"/>
      <w:numFmt w:val="bullet"/>
      <w:lvlText w:val="•"/>
      <w:lvlJc w:val="left"/>
      <w:pPr>
        <w:ind w:left="3808"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436" w:hanging="360"/>
      </w:pPr>
      <w:rPr>
        <w:rFonts w:hint="default"/>
        <w:lang w:val="en-us" w:eastAsia="en-US" w:bidi="ar-SA"/>
      </w:rPr>
    </w:lvl>
    <w:lvl w:ilvl="7">
      <w:start w:val="0"/>
      <w:numFmt w:val="bullet"/>
      <w:lvlText w:val="•"/>
      <w:lvlJc w:val="left"/>
      <w:pPr>
        <w:ind w:left="731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abonLTPro-Roman" w:hAnsi="SabonLTPro-Roman" w:eastAsia="SabonLTPro-Roman" w:cs="SabonLTPro-Roman"/>
      <w:lang w:val="en-us" w:eastAsia="en-US" w:bidi="ar-SA"/>
    </w:rPr>
  </w:style>
  <w:style w:styleId="BodyText" w:type="paragraph">
    <w:name w:val="Body Text"/>
    <w:basedOn w:val="Normal"/>
    <w:uiPriority w:val="1"/>
    <w:qFormat/>
    <w:pPr/>
    <w:rPr>
      <w:rFonts w:ascii="SabonLTPro-Roman" w:hAnsi="SabonLTPro-Roman" w:eastAsia="SabonLTPro-Roman" w:cs="SabonLTPro-Roman"/>
      <w:sz w:val="24"/>
      <w:szCs w:val="24"/>
      <w:lang w:val="en-us" w:eastAsia="en-US" w:bidi="ar-SA"/>
    </w:rPr>
  </w:style>
  <w:style w:styleId="Heading1" w:type="paragraph">
    <w:name w:val="Heading 1"/>
    <w:basedOn w:val="Normal"/>
    <w:uiPriority w:val="1"/>
    <w:qFormat/>
    <w:pPr>
      <w:spacing w:before="1"/>
      <w:ind w:left="3152"/>
      <w:outlineLvl w:val="1"/>
    </w:pPr>
    <w:rPr>
      <w:rFonts w:ascii="SabonLTPro-Roman" w:hAnsi="SabonLTPro-Roman" w:eastAsia="SabonLTPro-Roman" w:cs="SabonLTPro-Roman"/>
      <w:sz w:val="28"/>
      <w:szCs w:val="28"/>
      <w:lang w:val="en-us" w:eastAsia="en-US" w:bidi="ar-SA"/>
    </w:rPr>
  </w:style>
  <w:style w:styleId="Title" w:type="paragraph">
    <w:name w:val="Title"/>
    <w:basedOn w:val="Normal"/>
    <w:uiPriority w:val="1"/>
    <w:qFormat/>
    <w:pPr>
      <w:spacing w:before="126"/>
      <w:ind w:left="3160" w:right="148"/>
    </w:pPr>
    <w:rPr>
      <w:rFonts w:ascii="SabonLTPro-Roman" w:hAnsi="SabonLTPro-Roman" w:eastAsia="SabonLTPro-Roman" w:cs="SabonLTPro-Roman"/>
      <w:sz w:val="52"/>
      <w:szCs w:val="52"/>
      <w:lang w:val="en-us" w:eastAsia="en-US" w:bidi="ar-SA"/>
    </w:rPr>
  </w:style>
  <w:style w:styleId="ListParagraph" w:type="paragraph">
    <w:name w:val="List Paragraph"/>
    <w:basedOn w:val="Normal"/>
    <w:uiPriority w:val="1"/>
    <w:qFormat/>
    <w:pPr>
      <w:spacing w:before="86"/>
      <w:ind w:left="820" w:hanging="360"/>
    </w:pPr>
    <w:rPr>
      <w:rFonts w:ascii="SabonLTPro-Roman" w:hAnsi="SabonLTPro-Roman" w:eastAsia="SabonLTPro-Roman" w:cs="SabonLTPro-Roman"/>
      <w:lang w:val="en-us" w:eastAsia="en-US" w:bidi="ar-SA"/>
    </w:rPr>
  </w:style>
  <w:style w:styleId="TableParagraph" w:type="paragraph">
    <w:name w:val="Table Paragraph"/>
    <w:basedOn w:val="Normal"/>
    <w:uiPriority w:val="1"/>
    <w:qFormat/>
    <w:pPr>
      <w:ind w:left="79"/>
    </w:pPr>
    <w:rPr>
      <w:rFonts w:ascii="Frutiger LT Std" w:hAnsi="Frutiger LT Std" w:eastAsia="Frutiger LT Std" w:cs="Frutiger LT Std"/>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www.canada.ca/en/services/benefits/ei/cerb-application.html" TargetMode="External"/><Relationship Id="rId8" Type="http://schemas.openxmlformats.org/officeDocument/2006/relationships/hyperlink" Target="https://7f9b59af-af92-41cd-8e6c-aa2870f170de.filesusr.com/ugd/f54667_ebf43dd50cd04af0876a7b2744dfd6ae.pdf" TargetMode="External"/><Relationship Id="rId9" Type="http://schemas.openxmlformats.org/officeDocument/2006/relationships/hyperlink" Target="https://www.gov.nl.ca/releases/2020/aesl/0409n05/" TargetMode="External"/><Relationship Id="rId10" Type="http://schemas.openxmlformats.org/officeDocument/2006/relationships/hyperlink" Target="https://www.nlhc.nl.ca/wp-content/uploads/2020/03/Public-Advisory-NLHC-Rental-Adjustments-Updated-Mar26-2020.pdf" TargetMode="External"/><Relationship Id="rId11" Type="http://schemas.openxmlformats.org/officeDocument/2006/relationships/hyperlink" Target="https://www.gov.nl.ca/aesl/feature/covid-19-information-about-aesl-programs-and-services/" TargetMode="External"/><Relationship Id="rId12" Type="http://schemas.openxmlformats.org/officeDocument/2006/relationships/hyperlink" Target="https://novascotia.ca/news/release/?id=20200319004" TargetMode="External"/><Relationship Id="rId13" Type="http://schemas.openxmlformats.org/officeDocument/2006/relationships/hyperlink" Target="https://nsadvocate.org/2020/04/18/nova-scotia-allows-social-assistance-recipients-to-keep-cerb-payments/" TargetMode="External"/><Relationship Id="rId14" Type="http://schemas.openxmlformats.org/officeDocument/2006/relationships/hyperlink" Target="https://www.sac-isc.gc.ca/eng/1100100035204/1533307858805" TargetMode="External"/><Relationship Id="rId15" Type="http://schemas.openxmlformats.org/officeDocument/2006/relationships/hyperlink" Target="https://www.gov.nl.ca/releases/2020/cssd/0407n02/" TargetMode="External"/><Relationship Id="rId16" Type="http://schemas.openxmlformats.org/officeDocument/2006/relationships/hyperlink" Target="https://www.thestar.com/news/gta/2020/04/20/ontario-to-allow-people-on-social-assistance-to-keep-part-of-emergency-benefits.html" TargetMode="External"/><Relationship Id="rId17" Type="http://schemas.openxmlformats.org/officeDocument/2006/relationships/hyperlink" Target="https://www.mcss.gov.on.ca/en/mcss/programs/social/ow/" TargetMode="External"/><Relationship Id="rId18" Type="http://schemas.openxmlformats.org/officeDocument/2006/relationships/hyperlink" Target="https://aptnnews.ca/2020/03/26/ontario-government-issues-moratorium-on-youth-aging-out-of-care-during-pandemic/" TargetMode="External"/><Relationship Id="rId19" Type="http://schemas.openxmlformats.org/officeDocument/2006/relationships/hyperlink" Target="https://news.gov.mb.ca/news/index.html?item=47622" TargetMode="External"/><Relationship Id="rId20" Type="http://schemas.openxmlformats.org/officeDocument/2006/relationships/hyperlink" Target="https://www.alberta.ca/aish-income-support-and-the-canada-emergency-response-benefit.aspx" TargetMode="External"/><Relationship Id="rId21" Type="http://schemas.openxmlformats.org/officeDocument/2006/relationships/hyperlink" Target="https://news.gov.mb.ca/news/index.html?item=48318&amp;posted=2020-05-26" TargetMode="External"/><Relationship Id="rId22" Type="http://schemas.openxmlformats.org/officeDocument/2006/relationships/hyperlink" Target="https://aptnnews.ca/2020/04/09/manitoba-commits-to-extending-services-for-youth-aging-out-of-care-during-covid-19/" TargetMode="External"/><Relationship Id="rId23" Type="http://schemas.openxmlformats.org/officeDocument/2006/relationships/hyperlink" Target="https://globalnews.ca/news/6759493/coronavirus-saskatchewan-pandemic-response-social-services/" TargetMode="External"/><Relationship Id="rId24" Type="http://schemas.openxmlformats.org/officeDocument/2006/relationships/hyperlink" Target="https://www2.gov.bc.ca/gov/content/family-social-supports/income-assistance/on-assistance/covid" TargetMode="External"/><Relationship Id="rId25" Type="http://schemas.openxmlformats.org/officeDocument/2006/relationships/hyperlink" Target="https://news.gov.bc.ca/releases/2020SDPR0012-000620" TargetMode="External"/><Relationship Id="rId26" Type="http://schemas.openxmlformats.org/officeDocument/2006/relationships/hyperlink" Target="https://news.gov.bc.ca/releases/2020SDPR0036-001223" TargetMode="External"/><Relationship Id="rId27" Type="http://schemas.openxmlformats.org/officeDocument/2006/relationships/hyperlink" Target="https://news.gov.bc.ca/releases/2020SDPR0041-001511" TargetMode="External"/><Relationship Id="rId28" Type="http://schemas.openxmlformats.org/officeDocument/2006/relationships/hyperlink" Target="https://yukon.ca/en/news/canada-emergency-response-benefit-be-exempted-yukon-social-assistance" TargetMode="External"/><Relationship Id="rId29" Type="http://schemas.openxmlformats.org/officeDocument/2006/relationships/hyperlink" Target="https://www.gov.nt.ca/en/newsroom/minister-education-culture-and-employment-announces-income-assistance-exemptions-residents" TargetMode="External"/><Relationship Id="rId30" Type="http://schemas.openxmlformats.org/officeDocument/2006/relationships/hyperlink" Target="https://news.gov.bc.ca/releases/2020CFD0042-000596" TargetMode="External"/><Relationship Id="rId31" Type="http://schemas.openxmlformats.org/officeDocument/2006/relationships/hyperlink" Target="https://www.gov.nt.ca/en/newsroom/diane-thom-covid-19-health-and-social-services-system-response" TargetMode="External"/><Relationship Id="rId32" Type="http://schemas.openxmlformats.org/officeDocument/2006/relationships/hyperlink" Target="mailto:policy@maytree.com" TargetMode="External"/><Relationship Id="rId33" Type="http://schemas.openxmlformats.org/officeDocument/2006/relationships/hyperlink" Target="http://www.maytree.com/"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Tweddle and John Stapleton</dc:creator>
  <dc:title>Canada Emergency Response Benefit (CERB) interactions with provincial and territorial social assistance and subsidized housing programs and youth aging out of care </dc:title>
  <dcterms:created xsi:type="dcterms:W3CDTF">2020-08-25T13:13:12Z</dcterms:created>
  <dcterms:modified xsi:type="dcterms:W3CDTF">2020-08-25T13:13:12Z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Adobe InDesign 15.0 (Macintosh)</vt:lpwstr>
  </property>
  <property fmtid="{D5CDD505-2E9C-101B-9397-08002B2CF9AE}" pid="4" name="LastSaved">
    <vt:filetime>2020-08-25T00:00:00Z</vt:filetime>
  </property>
</Properties>
</file>